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1BBAE" w14:textId="77777777" w:rsidR="003563DD" w:rsidRPr="006C5AE8" w:rsidRDefault="00DC6629" w:rsidP="00A236E7">
      <w:pPr>
        <w:spacing w:before="100" w:beforeAutospacing="1"/>
        <w:jc w:val="center"/>
        <w:rPr>
          <w:bCs/>
          <w:sz w:val="24"/>
          <w:szCs w:val="24"/>
        </w:rPr>
      </w:pPr>
      <w:r w:rsidRPr="006C5AE8">
        <w:rPr>
          <w:bCs/>
          <w:sz w:val="24"/>
          <w:szCs w:val="24"/>
        </w:rPr>
        <w:t>Prípravok na ochranu rastlín</w:t>
      </w:r>
      <w:r w:rsidR="00016667" w:rsidRPr="006C5AE8">
        <w:rPr>
          <w:bCs/>
          <w:sz w:val="24"/>
          <w:szCs w:val="24"/>
        </w:rPr>
        <w:t xml:space="preserve"> pre profesionálnych používateľov</w:t>
      </w:r>
    </w:p>
    <w:p w14:paraId="54D9E6EA" w14:textId="77777777" w:rsidR="00A236E7" w:rsidRPr="00016667" w:rsidRDefault="00A236E7" w:rsidP="00A236E7">
      <w:pPr>
        <w:pStyle w:val="Nadpis3"/>
        <w:spacing w:before="100" w:beforeAutospacing="1"/>
        <w:ind w:left="0" w:firstLine="0"/>
        <w:jc w:val="center"/>
        <w:rPr>
          <w:rFonts w:ascii="Times New Roman" w:hAnsi="Times New Roman" w:cs="Times New Roman"/>
          <w:sz w:val="40"/>
          <w:szCs w:val="40"/>
        </w:rPr>
      </w:pPr>
      <w:r w:rsidRPr="00016667">
        <w:rPr>
          <w:rFonts w:ascii="Times New Roman" w:hAnsi="Times New Roman" w:cs="Times New Roman"/>
          <w:sz w:val="40"/>
          <w:szCs w:val="40"/>
        </w:rPr>
        <w:t>FLOWBRIX</w:t>
      </w:r>
      <w:r w:rsidRPr="00FE4A6B">
        <w:rPr>
          <w:rFonts w:ascii="Times New Roman" w:hAnsi="Times New Roman" w:cs="Times New Roman"/>
          <w:sz w:val="40"/>
          <w:szCs w:val="40"/>
          <w:vertAlign w:val="superscript"/>
        </w:rPr>
        <w:t>®</w:t>
      </w:r>
    </w:p>
    <w:p w14:paraId="467C7DA4" w14:textId="77777777" w:rsidR="00F65D32" w:rsidRDefault="00F65D32" w:rsidP="00A236E7">
      <w:pPr>
        <w:jc w:val="both"/>
        <w:rPr>
          <w:b/>
          <w:bCs/>
          <w:color w:val="000000"/>
          <w:sz w:val="22"/>
          <w:szCs w:val="22"/>
        </w:rPr>
      </w:pPr>
    </w:p>
    <w:p w14:paraId="30ECE63A" w14:textId="4CD49D13" w:rsidR="00F65D32" w:rsidRPr="006C5AE8" w:rsidRDefault="00F65D32" w:rsidP="00EE49D6">
      <w:pPr>
        <w:pStyle w:val="Zkladntext"/>
        <w:jc w:val="both"/>
        <w:rPr>
          <w:rFonts w:ascii="Times New Roman" w:hAnsi="Times New Roman" w:cs="Times New Roman"/>
        </w:rPr>
      </w:pPr>
      <w:r w:rsidRPr="006C5AE8">
        <w:rPr>
          <w:rFonts w:ascii="Times New Roman" w:hAnsi="Times New Roman" w:cs="Times New Roman"/>
        </w:rPr>
        <w:t xml:space="preserve">Postrekový </w:t>
      </w:r>
      <w:r w:rsidR="00133310" w:rsidRPr="006C5AE8">
        <w:rPr>
          <w:rFonts w:ascii="Times New Roman" w:hAnsi="Times New Roman" w:cs="Times New Roman"/>
        </w:rPr>
        <w:t>kontaktný</w:t>
      </w:r>
      <w:r w:rsidR="00F40314" w:rsidRPr="006C5AE8">
        <w:rPr>
          <w:rFonts w:ascii="Times New Roman" w:hAnsi="Times New Roman" w:cs="Times New Roman"/>
        </w:rPr>
        <w:t xml:space="preserve"> </w:t>
      </w:r>
      <w:proofErr w:type="spellStart"/>
      <w:r w:rsidR="00F40314" w:rsidRPr="006C5AE8">
        <w:rPr>
          <w:rFonts w:ascii="Times New Roman" w:hAnsi="Times New Roman" w:cs="Times New Roman"/>
        </w:rPr>
        <w:t>fungicíd</w:t>
      </w:r>
      <w:proofErr w:type="spellEnd"/>
      <w:r w:rsidR="00133310" w:rsidRPr="006C5AE8">
        <w:rPr>
          <w:rFonts w:ascii="Times New Roman" w:hAnsi="Times New Roman" w:cs="Times New Roman"/>
        </w:rPr>
        <w:t xml:space="preserve"> </w:t>
      </w:r>
      <w:r w:rsidR="006A646E" w:rsidRPr="006C5AE8">
        <w:rPr>
          <w:rFonts w:ascii="Times New Roman" w:hAnsi="Times New Roman" w:cs="Times New Roman"/>
        </w:rPr>
        <w:t xml:space="preserve">vo forme </w:t>
      </w:r>
      <w:proofErr w:type="spellStart"/>
      <w:r w:rsidR="006A646E" w:rsidRPr="006C5AE8">
        <w:rPr>
          <w:rFonts w:ascii="Times New Roman" w:hAnsi="Times New Roman" w:cs="Times New Roman"/>
        </w:rPr>
        <w:t>suspenzného</w:t>
      </w:r>
      <w:proofErr w:type="spellEnd"/>
      <w:r w:rsidR="006A646E" w:rsidRPr="006C5AE8">
        <w:rPr>
          <w:rFonts w:ascii="Times New Roman" w:hAnsi="Times New Roman" w:cs="Times New Roman"/>
        </w:rPr>
        <w:t xml:space="preserve"> koncentrátu </w:t>
      </w:r>
      <w:r w:rsidR="00B0692D" w:rsidRPr="006C5AE8">
        <w:rPr>
          <w:rFonts w:ascii="Times New Roman" w:hAnsi="Times New Roman" w:cs="Times New Roman"/>
        </w:rPr>
        <w:t xml:space="preserve"> pre riedenie vodou </w:t>
      </w:r>
      <w:r w:rsidR="00DA5A3C">
        <w:rPr>
          <w:rFonts w:ascii="Times New Roman" w:hAnsi="Times New Roman" w:cs="Times New Roman"/>
        </w:rPr>
        <w:t xml:space="preserve">(SC) </w:t>
      </w:r>
      <w:r w:rsidR="00DA5A3C" w:rsidRPr="006C5AE8">
        <w:rPr>
          <w:rFonts w:ascii="Times New Roman" w:hAnsi="Times New Roman" w:cs="Times New Roman"/>
        </w:rPr>
        <w:t>na</w:t>
      </w:r>
      <w:r w:rsidR="00DA5A3C">
        <w:rPr>
          <w:rFonts w:ascii="Times New Roman" w:hAnsi="Times New Roman" w:cs="Times New Roman"/>
        </w:rPr>
        <w:t> </w:t>
      </w:r>
      <w:r w:rsidR="000371A4" w:rsidRPr="006C5AE8">
        <w:rPr>
          <w:rFonts w:ascii="Times New Roman" w:hAnsi="Times New Roman" w:cs="Times New Roman"/>
        </w:rPr>
        <w:t>ošetrenie viniča</w:t>
      </w:r>
      <w:r w:rsidR="005C0D69">
        <w:rPr>
          <w:rFonts w:ascii="Times New Roman" w:hAnsi="Times New Roman" w:cs="Times New Roman"/>
        </w:rPr>
        <w:t xml:space="preserve">, </w:t>
      </w:r>
      <w:proofErr w:type="spellStart"/>
      <w:r w:rsidR="005C0D69">
        <w:rPr>
          <w:rFonts w:ascii="Times New Roman" w:hAnsi="Times New Roman" w:cs="Times New Roman"/>
        </w:rPr>
        <w:t>jadrovín</w:t>
      </w:r>
      <w:proofErr w:type="spellEnd"/>
      <w:r w:rsidR="005C0D69">
        <w:rPr>
          <w:rFonts w:ascii="Times New Roman" w:hAnsi="Times New Roman" w:cs="Times New Roman"/>
        </w:rPr>
        <w:t xml:space="preserve">, </w:t>
      </w:r>
      <w:r w:rsidR="001A4906">
        <w:rPr>
          <w:rFonts w:ascii="Times New Roman" w:hAnsi="Times New Roman" w:cs="Times New Roman"/>
        </w:rPr>
        <w:t>slivky, marhule a </w:t>
      </w:r>
      <w:proofErr w:type="spellStart"/>
      <w:r w:rsidR="001A4906">
        <w:rPr>
          <w:rFonts w:ascii="Times New Roman" w:hAnsi="Times New Roman" w:cs="Times New Roman"/>
        </w:rPr>
        <w:t>tekvicovitej</w:t>
      </w:r>
      <w:proofErr w:type="spellEnd"/>
      <w:r w:rsidR="001A4906">
        <w:rPr>
          <w:rFonts w:ascii="Times New Roman" w:hAnsi="Times New Roman" w:cs="Times New Roman"/>
        </w:rPr>
        <w:t xml:space="preserve"> zeleniny</w:t>
      </w:r>
      <w:r w:rsidR="000371A4" w:rsidRPr="006C5AE8">
        <w:rPr>
          <w:rFonts w:ascii="Times New Roman" w:hAnsi="Times New Roman" w:cs="Times New Roman"/>
        </w:rPr>
        <w:t xml:space="preserve"> proti</w:t>
      </w:r>
      <w:r w:rsidR="00A236E7" w:rsidRPr="006C5AE8">
        <w:rPr>
          <w:rFonts w:ascii="Times New Roman" w:hAnsi="Times New Roman" w:cs="Times New Roman"/>
        </w:rPr>
        <w:t> </w:t>
      </w:r>
      <w:r w:rsidR="001A4906">
        <w:rPr>
          <w:rFonts w:ascii="Times New Roman" w:hAnsi="Times New Roman" w:cs="Times New Roman"/>
        </w:rPr>
        <w:t>hubovým c</w:t>
      </w:r>
      <w:r w:rsidR="00D66CED">
        <w:rPr>
          <w:rFonts w:ascii="Times New Roman" w:hAnsi="Times New Roman" w:cs="Times New Roman"/>
        </w:rPr>
        <w:t>h</w:t>
      </w:r>
      <w:r w:rsidR="001A4906">
        <w:rPr>
          <w:rFonts w:ascii="Times New Roman" w:hAnsi="Times New Roman" w:cs="Times New Roman"/>
        </w:rPr>
        <w:t>orobám</w:t>
      </w:r>
      <w:r w:rsidR="00571B2A" w:rsidRPr="006C5AE8">
        <w:rPr>
          <w:rFonts w:ascii="Times New Roman" w:hAnsi="Times New Roman" w:cs="Times New Roman"/>
        </w:rPr>
        <w:t>.</w:t>
      </w:r>
    </w:p>
    <w:p w14:paraId="0B491D42" w14:textId="77777777" w:rsidR="008314B7" w:rsidRPr="006C5AE8" w:rsidRDefault="008314B7" w:rsidP="008314B7">
      <w:pPr>
        <w:pStyle w:val="Default"/>
        <w:jc w:val="both"/>
        <w:rPr>
          <w:b/>
          <w:bCs/>
          <w:lang w:val="sk-SK"/>
        </w:rPr>
      </w:pPr>
    </w:p>
    <w:p w14:paraId="0EF42CD2" w14:textId="77777777" w:rsidR="00A236E7" w:rsidRPr="006C5AE8" w:rsidRDefault="00A236E7" w:rsidP="00A236E7">
      <w:pPr>
        <w:spacing w:after="120"/>
        <w:jc w:val="both"/>
        <w:rPr>
          <w:b/>
          <w:sz w:val="24"/>
          <w:szCs w:val="24"/>
        </w:rPr>
      </w:pPr>
      <w:r w:rsidRPr="006C5AE8">
        <w:rPr>
          <w:b/>
          <w:caps/>
          <w:sz w:val="24"/>
          <w:szCs w:val="24"/>
        </w:rPr>
        <w:t>Účinná látka:</w:t>
      </w:r>
    </w:p>
    <w:tbl>
      <w:tblPr>
        <w:tblW w:w="9555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2"/>
        <w:gridCol w:w="2041"/>
        <w:gridCol w:w="4962"/>
      </w:tblGrid>
      <w:tr w:rsidR="00A236E7" w:rsidRPr="006C5AE8" w14:paraId="29F44FF6" w14:textId="77777777" w:rsidTr="005D12E4">
        <w:tc>
          <w:tcPr>
            <w:tcW w:w="2552" w:type="dxa"/>
          </w:tcPr>
          <w:p w14:paraId="48681E79" w14:textId="21AD3159" w:rsidR="00A236E7" w:rsidRPr="006C5AE8" w:rsidRDefault="00B92B38" w:rsidP="00A236E7">
            <w:pPr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Kovová meď</w:t>
            </w:r>
          </w:p>
        </w:tc>
        <w:tc>
          <w:tcPr>
            <w:tcW w:w="2041" w:type="dxa"/>
          </w:tcPr>
          <w:p w14:paraId="5D65EBE9" w14:textId="31DCC9CF" w:rsidR="007600FC" w:rsidRPr="006C5AE8" w:rsidRDefault="00B92B38" w:rsidP="007600FC">
            <w:pPr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</w:t>
            </w:r>
            <w:r w:rsidRPr="006C5AE8">
              <w:rPr>
                <w:b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7600FC" w:rsidRPr="006C5AE8">
              <w:rPr>
                <w:b/>
                <w:sz w:val="24"/>
                <w:szCs w:val="24"/>
              </w:rPr>
              <w:t>g/l</w:t>
            </w:r>
          </w:p>
          <w:p w14:paraId="2A182F53" w14:textId="6E76F37A" w:rsidR="00A236E7" w:rsidRPr="006C5AE8" w:rsidRDefault="00A236E7" w:rsidP="00B92B38">
            <w:pPr>
              <w:ind w:right="-57"/>
              <w:jc w:val="center"/>
              <w:rPr>
                <w:sz w:val="24"/>
                <w:szCs w:val="24"/>
              </w:rPr>
            </w:pPr>
            <w:r w:rsidRPr="006C5AE8">
              <w:rPr>
                <w:sz w:val="24"/>
                <w:szCs w:val="24"/>
              </w:rPr>
              <w:t>(</w:t>
            </w:r>
            <w:r w:rsidR="00B92B38">
              <w:rPr>
                <w:sz w:val="24"/>
                <w:szCs w:val="24"/>
              </w:rPr>
              <w:t>25,4</w:t>
            </w:r>
            <w:r w:rsidR="007600FC" w:rsidRPr="006C5AE8">
              <w:rPr>
                <w:sz w:val="24"/>
                <w:szCs w:val="24"/>
              </w:rPr>
              <w:t xml:space="preserve"> </w:t>
            </w:r>
            <w:r w:rsidRPr="006C5AE8">
              <w:rPr>
                <w:sz w:val="24"/>
                <w:szCs w:val="24"/>
              </w:rPr>
              <w:t>% hm)</w:t>
            </w:r>
          </w:p>
        </w:tc>
        <w:tc>
          <w:tcPr>
            <w:tcW w:w="4962" w:type="dxa"/>
          </w:tcPr>
          <w:p w14:paraId="7CDC4948" w14:textId="5590E34B" w:rsidR="00A236E7" w:rsidRPr="006C5AE8" w:rsidRDefault="00B92B38" w:rsidP="004516AF">
            <w:pPr>
              <w:pStyle w:val="Hlavik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t.j</w:t>
            </w:r>
            <w:proofErr w:type="spellEnd"/>
            <w:r>
              <w:rPr>
                <w:sz w:val="24"/>
                <w:szCs w:val="24"/>
              </w:rPr>
              <w:t xml:space="preserve">. vo forme </w:t>
            </w:r>
            <w:proofErr w:type="spellStart"/>
            <w:r w:rsidR="004A6641">
              <w:rPr>
                <w:sz w:val="24"/>
                <w:szCs w:val="24"/>
              </w:rPr>
              <w:t>oxychlorid</w:t>
            </w:r>
            <w:proofErr w:type="spellEnd"/>
            <w:r w:rsidR="004A66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meďnatý v obsahu </w:t>
            </w:r>
            <w:r w:rsidR="004516AF">
              <w:rPr>
                <w:sz w:val="24"/>
                <w:szCs w:val="24"/>
              </w:rPr>
              <w:t>638</w:t>
            </w:r>
            <w:r>
              <w:rPr>
                <w:sz w:val="24"/>
                <w:szCs w:val="24"/>
              </w:rPr>
              <w:t xml:space="preserve"> g/l (</w:t>
            </w:r>
            <w:r w:rsidR="004516AF">
              <w:rPr>
                <w:sz w:val="24"/>
                <w:szCs w:val="24"/>
              </w:rPr>
              <w:t xml:space="preserve">42,7 </w:t>
            </w:r>
            <w:r>
              <w:rPr>
                <w:sz w:val="24"/>
                <w:szCs w:val="24"/>
              </w:rPr>
              <w:t>% hm)</w:t>
            </w:r>
          </w:p>
        </w:tc>
      </w:tr>
    </w:tbl>
    <w:p w14:paraId="1CAC4D23" w14:textId="77777777" w:rsidR="008314B7" w:rsidRPr="006C5AE8" w:rsidRDefault="008314B7" w:rsidP="008314B7">
      <w:pPr>
        <w:pStyle w:val="Default"/>
        <w:jc w:val="both"/>
        <w:rPr>
          <w:b/>
          <w:bCs/>
          <w:lang w:val="sk-SK"/>
        </w:rPr>
      </w:pPr>
    </w:p>
    <w:p w14:paraId="1917F71B" w14:textId="77777777" w:rsidR="008314B7" w:rsidRPr="006C5AE8" w:rsidRDefault="00DE4EA2" w:rsidP="008314B7">
      <w:pPr>
        <w:pStyle w:val="Default"/>
        <w:jc w:val="both"/>
        <w:rPr>
          <w:lang w:val="sk-SK"/>
        </w:rPr>
      </w:pPr>
      <w:r w:rsidRPr="006C5AE8">
        <w:rPr>
          <w:b/>
          <w:bCs/>
          <w:lang w:val="sk-SK"/>
        </w:rPr>
        <w:t xml:space="preserve">Látky nebezpečné pre zdravie, ktoré prispievajú ku klasifikácii prípravku: </w:t>
      </w:r>
      <w:proofErr w:type="spellStart"/>
      <w:r w:rsidR="008314B7" w:rsidRPr="006C5AE8">
        <w:rPr>
          <w:lang w:val="sk-SK"/>
        </w:rPr>
        <w:t>oxychlorid</w:t>
      </w:r>
      <w:proofErr w:type="spellEnd"/>
      <w:r w:rsidR="008314B7" w:rsidRPr="006C5AE8">
        <w:rPr>
          <w:lang w:val="sk-SK"/>
        </w:rPr>
        <w:t xml:space="preserve">-Cu CAS No.: 1332-40-7, </w:t>
      </w:r>
      <w:proofErr w:type="spellStart"/>
      <w:r w:rsidR="008314B7" w:rsidRPr="006C5AE8">
        <w:rPr>
          <w:lang w:val="sk-SK"/>
        </w:rPr>
        <w:t>natrium-diisopropylnaftalrnsulfonát</w:t>
      </w:r>
      <w:proofErr w:type="spellEnd"/>
      <w:r w:rsidR="008314B7" w:rsidRPr="006C5AE8">
        <w:rPr>
          <w:lang w:val="sk-SK"/>
        </w:rPr>
        <w:t xml:space="preserve"> CAS No.: 1322-93-6</w:t>
      </w:r>
    </w:p>
    <w:p w14:paraId="476F93E9" w14:textId="77777777" w:rsidR="008314B7" w:rsidRPr="006C5AE8" w:rsidRDefault="008314B7" w:rsidP="008314B7">
      <w:pPr>
        <w:pStyle w:val="Default"/>
        <w:jc w:val="both"/>
        <w:rPr>
          <w:b/>
          <w:bCs/>
          <w:lang w:val="sk-SK"/>
        </w:rPr>
      </w:pPr>
    </w:p>
    <w:p w14:paraId="1E8A27F7" w14:textId="77777777" w:rsidR="008314B7" w:rsidRPr="006C5AE8" w:rsidRDefault="007600FC" w:rsidP="008314B7">
      <w:pPr>
        <w:pStyle w:val="Default"/>
        <w:jc w:val="both"/>
        <w:rPr>
          <w:b/>
          <w:bCs/>
          <w:caps/>
          <w:lang w:val="sk-SK"/>
        </w:rPr>
      </w:pPr>
      <w:r w:rsidRPr="006C5AE8">
        <w:rPr>
          <w:b/>
          <w:bCs/>
          <w:caps/>
          <w:lang w:val="sk-SK"/>
        </w:rPr>
        <w:t>Klasifikácia a označenie</w:t>
      </w:r>
    </w:p>
    <w:tbl>
      <w:tblPr>
        <w:tblW w:w="2652" w:type="dxa"/>
        <w:tblInd w:w="-34" w:type="dxa"/>
        <w:tblLook w:val="00A0" w:firstRow="1" w:lastRow="0" w:firstColumn="1" w:lastColumn="0" w:noHBand="0" w:noVBand="0"/>
      </w:tblPr>
      <w:tblGrid>
        <w:gridCol w:w="1296"/>
        <w:gridCol w:w="1356"/>
      </w:tblGrid>
      <w:tr w:rsidR="008B2446" w:rsidRPr="00D802B4" w14:paraId="7101CC5F" w14:textId="17C19A43" w:rsidTr="008B2446">
        <w:trPr>
          <w:trHeight w:val="1036"/>
        </w:trPr>
        <w:tc>
          <w:tcPr>
            <w:tcW w:w="1296" w:type="dxa"/>
          </w:tcPr>
          <w:p w14:paraId="352BEBCC" w14:textId="77777777" w:rsidR="008B2446" w:rsidRPr="00D802B4" w:rsidRDefault="008B2446" w:rsidP="008B2446">
            <w:pPr>
              <w:tabs>
                <w:tab w:val="left" w:pos="1008"/>
              </w:tabs>
              <w:autoSpaceDE/>
              <w:autoSpaceDN/>
              <w:spacing w:before="40" w:after="40"/>
              <w:jc w:val="center"/>
              <w:rPr>
                <w:sz w:val="24"/>
                <w:szCs w:val="24"/>
              </w:rPr>
            </w:pPr>
            <w:r w:rsidRPr="00D802B4"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6B0C056" wp14:editId="45CF53CC">
                  <wp:extent cx="685800" cy="685800"/>
                  <wp:effectExtent l="0" t="0" r="0" b="0"/>
                  <wp:docPr id="9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14:paraId="7947AEC3" w14:textId="4E087868" w:rsidR="008B2446" w:rsidRPr="00D802B4" w:rsidRDefault="008B2446" w:rsidP="008B2446">
            <w:pPr>
              <w:autoSpaceDE/>
              <w:autoSpaceDN/>
            </w:pPr>
            <w:r w:rsidRPr="00D802B4"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6001A81" wp14:editId="3D058FD8">
                  <wp:extent cx="685800" cy="685800"/>
                  <wp:effectExtent l="0" t="0" r="0" b="0"/>
                  <wp:docPr id="7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446" w:rsidRPr="003725F0" w14:paraId="3C9928AA" w14:textId="196C282A" w:rsidTr="008B2446">
        <w:trPr>
          <w:trHeight w:val="282"/>
        </w:trPr>
        <w:tc>
          <w:tcPr>
            <w:tcW w:w="1296" w:type="dxa"/>
          </w:tcPr>
          <w:p w14:paraId="6D0A3B7D" w14:textId="77777777" w:rsidR="008B2446" w:rsidRPr="003725F0" w:rsidRDefault="008B2446" w:rsidP="008B2446">
            <w:pPr>
              <w:tabs>
                <w:tab w:val="left" w:pos="1008"/>
              </w:tabs>
              <w:autoSpaceDE/>
              <w:autoSpaceDN/>
              <w:spacing w:before="40" w:after="40"/>
              <w:jc w:val="center"/>
            </w:pPr>
            <w:r w:rsidRPr="003725F0">
              <w:t>GHS09</w:t>
            </w:r>
          </w:p>
        </w:tc>
        <w:tc>
          <w:tcPr>
            <w:tcW w:w="1356" w:type="dxa"/>
          </w:tcPr>
          <w:p w14:paraId="654D8CCD" w14:textId="427CB069" w:rsidR="008B2446" w:rsidRPr="003725F0" w:rsidRDefault="008B2446" w:rsidP="008B2446">
            <w:pPr>
              <w:autoSpaceDE/>
              <w:autoSpaceDN/>
            </w:pPr>
            <w:r>
              <w:t xml:space="preserve">     </w:t>
            </w:r>
            <w:r w:rsidRPr="003725F0">
              <w:t>GHS07</w:t>
            </w:r>
          </w:p>
        </w:tc>
      </w:tr>
    </w:tbl>
    <w:p w14:paraId="5AB9DE25" w14:textId="77777777" w:rsidR="006C5AE8" w:rsidRDefault="006C5AE8" w:rsidP="008314B7">
      <w:pPr>
        <w:pStyle w:val="Default"/>
        <w:jc w:val="both"/>
        <w:rPr>
          <w:b/>
          <w:bCs/>
          <w:sz w:val="22"/>
          <w:szCs w:val="22"/>
          <w:lang w:val="sk-SK"/>
        </w:rPr>
      </w:pPr>
    </w:p>
    <w:p w14:paraId="278C09DC" w14:textId="77777777" w:rsidR="00016667" w:rsidRPr="006C5AE8" w:rsidRDefault="006C5AE8" w:rsidP="008314B7">
      <w:pPr>
        <w:pStyle w:val="Default"/>
        <w:jc w:val="both"/>
        <w:rPr>
          <w:b/>
          <w:bCs/>
          <w:sz w:val="28"/>
          <w:szCs w:val="28"/>
          <w:lang w:val="sk-SK"/>
        </w:rPr>
      </w:pPr>
      <w:r w:rsidRPr="006C5AE8">
        <w:rPr>
          <w:b/>
          <w:bCs/>
          <w:sz w:val="28"/>
          <w:szCs w:val="28"/>
          <w:lang w:val="sk-SK"/>
        </w:rPr>
        <w:t>Pozor</w:t>
      </w:r>
    </w:p>
    <w:tbl>
      <w:tblPr>
        <w:tblW w:w="9748" w:type="dxa"/>
        <w:tblInd w:w="-142" w:type="dxa"/>
        <w:tblLook w:val="00A0" w:firstRow="1" w:lastRow="0" w:firstColumn="1" w:lastColumn="0" w:noHBand="0" w:noVBand="0"/>
      </w:tblPr>
      <w:tblGrid>
        <w:gridCol w:w="1971"/>
        <w:gridCol w:w="7777"/>
      </w:tblGrid>
      <w:tr w:rsidR="00985ED8" w:rsidRPr="00D802B4" w14:paraId="7267C027" w14:textId="77777777" w:rsidTr="002823BB">
        <w:tc>
          <w:tcPr>
            <w:tcW w:w="1971" w:type="dxa"/>
          </w:tcPr>
          <w:p w14:paraId="4262FD49" w14:textId="13D9FE17" w:rsidR="00985ED8" w:rsidRPr="00D802B4" w:rsidRDefault="008B2446" w:rsidP="00065854">
            <w:pPr>
              <w:autoSpaceDE/>
              <w:autoSpaceDN/>
              <w:jc w:val="both"/>
              <w:rPr>
                <w:b/>
                <w:color w:val="A6A6A6" w:themeColor="background1" w:themeShade="A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H302</w:t>
            </w:r>
          </w:p>
        </w:tc>
        <w:tc>
          <w:tcPr>
            <w:tcW w:w="7777" w:type="dxa"/>
          </w:tcPr>
          <w:p w14:paraId="6A9BB47B" w14:textId="0D671113" w:rsidR="00985ED8" w:rsidRPr="00D802B4" w:rsidRDefault="008B2446" w:rsidP="00065854">
            <w:pPr>
              <w:autoSpaceDE/>
              <w:autoSpaceDN/>
              <w:jc w:val="both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CF2B71">
              <w:rPr>
                <w:b/>
                <w:bCs/>
                <w:sz w:val="24"/>
                <w:szCs w:val="24"/>
              </w:rPr>
              <w:t>Škodlivý</w:t>
            </w:r>
            <w:r>
              <w:rPr>
                <w:b/>
                <w:bCs/>
                <w:sz w:val="24"/>
                <w:szCs w:val="24"/>
              </w:rPr>
              <w:t xml:space="preserve"> po požití.</w:t>
            </w:r>
          </w:p>
        </w:tc>
      </w:tr>
      <w:tr w:rsidR="008B2446" w:rsidRPr="00D802B4" w14:paraId="0C1F648C" w14:textId="77777777" w:rsidTr="002823BB">
        <w:tc>
          <w:tcPr>
            <w:tcW w:w="1971" w:type="dxa"/>
          </w:tcPr>
          <w:p w14:paraId="3B1D331F" w14:textId="20EC45C4" w:rsidR="008B2446" w:rsidRPr="00D802B4" w:rsidRDefault="008B2446" w:rsidP="00065854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D802B4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410</w:t>
            </w:r>
          </w:p>
        </w:tc>
        <w:tc>
          <w:tcPr>
            <w:tcW w:w="7777" w:type="dxa"/>
          </w:tcPr>
          <w:p w14:paraId="6A3EF3E4" w14:textId="7EEACFBF" w:rsidR="008B2446" w:rsidRPr="006C5AE8" w:rsidRDefault="008B2446" w:rsidP="00065854">
            <w:pPr>
              <w:autoSpaceDE/>
              <w:autoSpaceDN/>
              <w:jc w:val="both"/>
              <w:rPr>
                <w:b/>
                <w:bCs/>
                <w:caps/>
                <w:sz w:val="24"/>
                <w:szCs w:val="24"/>
              </w:rPr>
            </w:pPr>
            <w:r w:rsidRPr="006C5AE8">
              <w:rPr>
                <w:b/>
                <w:bCs/>
                <w:caps/>
                <w:sz w:val="24"/>
                <w:szCs w:val="24"/>
              </w:rPr>
              <w:t>V</w:t>
            </w:r>
            <w:r w:rsidRPr="006C5AE8">
              <w:rPr>
                <w:b/>
                <w:bCs/>
                <w:sz w:val="24"/>
                <w:szCs w:val="24"/>
              </w:rPr>
              <w:t>eľmi toxický pre vodné organizmy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065854">
              <w:rPr>
                <w:b/>
                <w:bCs/>
                <w:sz w:val="24"/>
                <w:szCs w:val="24"/>
              </w:rPr>
              <w:t>s dlhodobými účinkami.</w:t>
            </w:r>
          </w:p>
        </w:tc>
      </w:tr>
      <w:tr w:rsidR="008B2446" w:rsidRPr="008B2446" w14:paraId="68115798" w14:textId="77777777" w:rsidTr="002823BB">
        <w:tc>
          <w:tcPr>
            <w:tcW w:w="1971" w:type="dxa"/>
          </w:tcPr>
          <w:p w14:paraId="53846954" w14:textId="7223F3D7" w:rsidR="008B2446" w:rsidRPr="00CF2B71" w:rsidRDefault="008B2446" w:rsidP="00065854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F2B71">
              <w:rPr>
                <w:sz w:val="24"/>
                <w:szCs w:val="24"/>
              </w:rPr>
              <w:t>P101</w:t>
            </w:r>
          </w:p>
        </w:tc>
        <w:tc>
          <w:tcPr>
            <w:tcW w:w="7777" w:type="dxa"/>
          </w:tcPr>
          <w:p w14:paraId="19C9A6D1" w14:textId="6CBAB997" w:rsidR="008B2446" w:rsidRPr="00CF2B71" w:rsidRDefault="008B2446" w:rsidP="00065854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F2B71">
              <w:rPr>
                <w:sz w:val="24"/>
                <w:szCs w:val="24"/>
              </w:rPr>
              <w:t>Ak je potrebná lekárska pomoc, majte k dispozícii obal alebo etiketu výrobku.</w:t>
            </w:r>
          </w:p>
        </w:tc>
      </w:tr>
      <w:tr w:rsidR="008B2446" w:rsidRPr="008B2446" w14:paraId="30A89357" w14:textId="77777777" w:rsidTr="002823BB">
        <w:tc>
          <w:tcPr>
            <w:tcW w:w="1971" w:type="dxa"/>
          </w:tcPr>
          <w:p w14:paraId="18B4D0D5" w14:textId="227850CE" w:rsidR="008B2446" w:rsidRPr="008B2446" w:rsidRDefault="008B2446" w:rsidP="00065854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P102</w:t>
            </w:r>
          </w:p>
        </w:tc>
        <w:tc>
          <w:tcPr>
            <w:tcW w:w="7777" w:type="dxa"/>
          </w:tcPr>
          <w:p w14:paraId="6BBC44CE" w14:textId="08703132" w:rsidR="008B2446" w:rsidRPr="00CF2B71" w:rsidRDefault="008B2446" w:rsidP="00065854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B2446">
              <w:rPr>
                <w:sz w:val="24"/>
                <w:szCs w:val="24"/>
              </w:rPr>
              <w:t>Uchovávajte mimo dosahu detí.</w:t>
            </w:r>
          </w:p>
        </w:tc>
      </w:tr>
      <w:tr w:rsidR="008B2446" w:rsidRPr="008B2446" w14:paraId="378BAEFC" w14:textId="77777777" w:rsidTr="002823BB">
        <w:tc>
          <w:tcPr>
            <w:tcW w:w="1971" w:type="dxa"/>
          </w:tcPr>
          <w:p w14:paraId="0E3C0F35" w14:textId="3DAC4A84" w:rsidR="008B2446" w:rsidRDefault="008B2446" w:rsidP="00065854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P103</w:t>
            </w:r>
          </w:p>
        </w:tc>
        <w:tc>
          <w:tcPr>
            <w:tcW w:w="7777" w:type="dxa"/>
          </w:tcPr>
          <w:p w14:paraId="312019D4" w14:textId="54FE8C0E" w:rsidR="008B2446" w:rsidRPr="00CF2B71" w:rsidRDefault="008B2446" w:rsidP="00065854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B2446">
              <w:rPr>
                <w:sz w:val="24"/>
                <w:szCs w:val="24"/>
              </w:rPr>
              <w:t>Pred použitím si prečítajte etiketu.</w:t>
            </w:r>
          </w:p>
        </w:tc>
      </w:tr>
      <w:tr w:rsidR="008B2446" w:rsidRPr="008B2446" w14:paraId="549AE51E" w14:textId="77777777" w:rsidTr="002823BB">
        <w:tc>
          <w:tcPr>
            <w:tcW w:w="1971" w:type="dxa"/>
          </w:tcPr>
          <w:p w14:paraId="2B9D4734" w14:textId="1E25117F" w:rsidR="008B2446" w:rsidRDefault="008B2446" w:rsidP="00065854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P264</w:t>
            </w:r>
          </w:p>
        </w:tc>
        <w:tc>
          <w:tcPr>
            <w:tcW w:w="7777" w:type="dxa"/>
          </w:tcPr>
          <w:p w14:paraId="4BC1605E" w14:textId="5B547DBE" w:rsidR="008B2446" w:rsidRPr="00CF2B71" w:rsidRDefault="008B2446" w:rsidP="00065854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B2446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 manipulácii starostlivo umyte ruky.</w:t>
            </w:r>
          </w:p>
        </w:tc>
      </w:tr>
      <w:tr w:rsidR="008B2446" w:rsidRPr="008B2446" w14:paraId="5917E99C" w14:textId="77777777" w:rsidTr="002823BB">
        <w:tc>
          <w:tcPr>
            <w:tcW w:w="1971" w:type="dxa"/>
          </w:tcPr>
          <w:p w14:paraId="5B4041AF" w14:textId="72E6231C" w:rsidR="008B2446" w:rsidRDefault="008B2446" w:rsidP="00065854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P270</w:t>
            </w:r>
          </w:p>
        </w:tc>
        <w:tc>
          <w:tcPr>
            <w:tcW w:w="7777" w:type="dxa"/>
          </w:tcPr>
          <w:p w14:paraId="4B24AD44" w14:textId="604784E5" w:rsidR="008B2446" w:rsidRPr="00CF2B71" w:rsidRDefault="008B2446" w:rsidP="00065854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B2446">
              <w:rPr>
                <w:sz w:val="24"/>
                <w:szCs w:val="24"/>
              </w:rPr>
              <w:t>Pri používaní výrobku nejedzte, nepite ani nefajčite.</w:t>
            </w:r>
          </w:p>
        </w:tc>
      </w:tr>
      <w:tr w:rsidR="00985ED8" w:rsidRPr="00D802B4" w14:paraId="74FD49AB" w14:textId="77777777" w:rsidTr="002823BB">
        <w:tc>
          <w:tcPr>
            <w:tcW w:w="1971" w:type="dxa"/>
          </w:tcPr>
          <w:p w14:paraId="69BE7CC5" w14:textId="77777777" w:rsidR="00985ED8" w:rsidRPr="00D802B4" w:rsidRDefault="00985ED8" w:rsidP="00E23237">
            <w:pPr>
              <w:autoSpaceDE/>
              <w:autoSpaceDN/>
              <w:jc w:val="both"/>
              <w:rPr>
                <w:color w:val="A6A6A6" w:themeColor="background1" w:themeShade="A6"/>
                <w:sz w:val="24"/>
                <w:szCs w:val="24"/>
              </w:rPr>
            </w:pPr>
            <w:r w:rsidRPr="006C5AE8">
              <w:rPr>
                <w:sz w:val="24"/>
                <w:szCs w:val="24"/>
              </w:rPr>
              <w:t>P273</w:t>
            </w:r>
          </w:p>
        </w:tc>
        <w:tc>
          <w:tcPr>
            <w:tcW w:w="7777" w:type="dxa"/>
          </w:tcPr>
          <w:p w14:paraId="4BC58E9F" w14:textId="77777777" w:rsidR="00985ED8" w:rsidRPr="00985ED8" w:rsidRDefault="00985ED8" w:rsidP="00E23237">
            <w:pPr>
              <w:tabs>
                <w:tab w:val="left" w:pos="1560"/>
              </w:tabs>
              <w:ind w:left="1429" w:hanging="1429"/>
              <w:rPr>
                <w:sz w:val="24"/>
                <w:szCs w:val="24"/>
              </w:rPr>
            </w:pPr>
            <w:r w:rsidRPr="006C5AE8">
              <w:rPr>
                <w:sz w:val="24"/>
                <w:szCs w:val="24"/>
              </w:rPr>
              <w:t>Zabráňte uvoľneniu do životného prostredia.</w:t>
            </w:r>
          </w:p>
        </w:tc>
      </w:tr>
      <w:tr w:rsidR="00985ED8" w:rsidRPr="00D802B4" w14:paraId="77061DE6" w14:textId="77777777" w:rsidTr="002823BB">
        <w:tc>
          <w:tcPr>
            <w:tcW w:w="1971" w:type="dxa"/>
          </w:tcPr>
          <w:p w14:paraId="34001225" w14:textId="77777777" w:rsidR="00985ED8" w:rsidRPr="006C5AE8" w:rsidRDefault="00985ED8" w:rsidP="00E23237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P280</w:t>
            </w:r>
          </w:p>
        </w:tc>
        <w:tc>
          <w:tcPr>
            <w:tcW w:w="7777" w:type="dxa"/>
          </w:tcPr>
          <w:p w14:paraId="01C4D403" w14:textId="77777777" w:rsidR="00985ED8" w:rsidRPr="006C5AE8" w:rsidRDefault="00985ED8" w:rsidP="00E23237">
            <w:pPr>
              <w:tabs>
                <w:tab w:val="left" w:pos="1560"/>
              </w:tabs>
              <w:ind w:left="1429" w:hanging="1429"/>
              <w:rPr>
                <w:sz w:val="24"/>
                <w:szCs w:val="24"/>
              </w:rPr>
            </w:pPr>
            <w:r w:rsidRPr="00AF10E6">
              <w:rPr>
                <w:sz w:val="24"/>
                <w:szCs w:val="24"/>
              </w:rPr>
              <w:t>Noste ochranné rukavice/ochranný odev/ochranné okuliare/ochranu tváre.</w:t>
            </w:r>
          </w:p>
        </w:tc>
      </w:tr>
      <w:tr w:rsidR="008B2446" w:rsidRPr="00D802B4" w14:paraId="49DF36D8" w14:textId="77777777" w:rsidTr="002823BB">
        <w:tc>
          <w:tcPr>
            <w:tcW w:w="1971" w:type="dxa"/>
          </w:tcPr>
          <w:p w14:paraId="40CDD899" w14:textId="45E35C65" w:rsidR="008B2446" w:rsidRDefault="008B2446" w:rsidP="00E23237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P301 + P312</w:t>
            </w:r>
          </w:p>
        </w:tc>
        <w:tc>
          <w:tcPr>
            <w:tcW w:w="7777" w:type="dxa"/>
          </w:tcPr>
          <w:p w14:paraId="33FB46FD" w14:textId="3703FBFB" w:rsidR="008B2446" w:rsidRPr="00AF10E6" w:rsidRDefault="008B2446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8B2446">
              <w:rPr>
                <w:sz w:val="24"/>
                <w:szCs w:val="24"/>
              </w:rPr>
              <w:t>PO POŽITÍ: Pri zdravot</w:t>
            </w:r>
            <w:r>
              <w:rPr>
                <w:sz w:val="24"/>
                <w:szCs w:val="24"/>
              </w:rPr>
              <w:t xml:space="preserve">ných problémoch volajte NÁRODNÉ </w:t>
            </w:r>
            <w:r w:rsidRPr="008B2446">
              <w:rPr>
                <w:sz w:val="24"/>
                <w:szCs w:val="24"/>
              </w:rPr>
              <w:t>TOXIKOLOG</w:t>
            </w:r>
            <w:r>
              <w:rPr>
                <w:sz w:val="24"/>
                <w:szCs w:val="24"/>
              </w:rPr>
              <w:t xml:space="preserve">ICKÉ INFORMAČNÉ CENTRUM alebo </w:t>
            </w:r>
            <w:proofErr w:type="spellStart"/>
            <w:r>
              <w:rPr>
                <w:sz w:val="24"/>
                <w:szCs w:val="24"/>
              </w:rPr>
              <w:t>lekaŕa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B2446" w:rsidRPr="00D802B4" w14:paraId="15B3922B" w14:textId="77777777" w:rsidTr="002823BB">
        <w:tc>
          <w:tcPr>
            <w:tcW w:w="1971" w:type="dxa"/>
          </w:tcPr>
          <w:p w14:paraId="422B8FF2" w14:textId="2234C27C" w:rsidR="008B2446" w:rsidRDefault="008B2446" w:rsidP="00E23237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P330</w:t>
            </w:r>
          </w:p>
        </w:tc>
        <w:tc>
          <w:tcPr>
            <w:tcW w:w="7777" w:type="dxa"/>
          </w:tcPr>
          <w:p w14:paraId="1C3E1B8C" w14:textId="55A3BD22" w:rsidR="008B2446" w:rsidRPr="00AF10E6" w:rsidRDefault="008B2446" w:rsidP="00E23237">
            <w:pPr>
              <w:tabs>
                <w:tab w:val="left" w:pos="1560"/>
              </w:tabs>
              <w:ind w:left="1429" w:hanging="1429"/>
              <w:rPr>
                <w:sz w:val="24"/>
                <w:szCs w:val="24"/>
              </w:rPr>
            </w:pPr>
            <w:r w:rsidRPr="008B2446">
              <w:rPr>
                <w:sz w:val="24"/>
                <w:szCs w:val="24"/>
              </w:rPr>
              <w:t>Vypláchnite ústa.</w:t>
            </w:r>
          </w:p>
        </w:tc>
      </w:tr>
      <w:tr w:rsidR="00985ED8" w:rsidRPr="00D802B4" w14:paraId="29876C96" w14:textId="77777777" w:rsidTr="002823BB">
        <w:tc>
          <w:tcPr>
            <w:tcW w:w="1971" w:type="dxa"/>
          </w:tcPr>
          <w:p w14:paraId="58603526" w14:textId="77777777" w:rsidR="00985ED8" w:rsidRPr="006C5AE8" w:rsidRDefault="00985ED8" w:rsidP="00E2323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C5AE8">
              <w:rPr>
                <w:sz w:val="24"/>
                <w:szCs w:val="24"/>
              </w:rPr>
              <w:t>P391</w:t>
            </w:r>
          </w:p>
        </w:tc>
        <w:tc>
          <w:tcPr>
            <w:tcW w:w="7777" w:type="dxa"/>
          </w:tcPr>
          <w:p w14:paraId="7DE3DC4D" w14:textId="77777777" w:rsidR="00985ED8" w:rsidRPr="006C5AE8" w:rsidRDefault="00985ED8" w:rsidP="00E23237">
            <w:pPr>
              <w:tabs>
                <w:tab w:val="left" w:pos="1560"/>
              </w:tabs>
              <w:ind w:left="1429" w:hanging="1429"/>
              <w:rPr>
                <w:sz w:val="24"/>
                <w:szCs w:val="24"/>
              </w:rPr>
            </w:pPr>
            <w:r w:rsidRPr="006C5AE8">
              <w:rPr>
                <w:sz w:val="24"/>
                <w:szCs w:val="24"/>
              </w:rPr>
              <w:t>Zozbierajte uniknutý produkt.</w:t>
            </w:r>
          </w:p>
        </w:tc>
      </w:tr>
      <w:tr w:rsidR="00985ED8" w:rsidRPr="00D802B4" w14:paraId="455B026A" w14:textId="77777777" w:rsidTr="002823BB">
        <w:tc>
          <w:tcPr>
            <w:tcW w:w="1971" w:type="dxa"/>
          </w:tcPr>
          <w:p w14:paraId="4B5D7EA6" w14:textId="77777777" w:rsidR="00985ED8" w:rsidRPr="006C5AE8" w:rsidRDefault="00985ED8" w:rsidP="00E2323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C5AE8">
              <w:rPr>
                <w:sz w:val="24"/>
                <w:szCs w:val="24"/>
              </w:rPr>
              <w:t>P501</w:t>
            </w:r>
          </w:p>
        </w:tc>
        <w:tc>
          <w:tcPr>
            <w:tcW w:w="7777" w:type="dxa"/>
          </w:tcPr>
          <w:p w14:paraId="5CD07D12" w14:textId="5822915A" w:rsidR="00985ED8" w:rsidRPr="006C5AE8" w:rsidRDefault="00985ED8" w:rsidP="00CF2B71">
            <w:pPr>
              <w:jc w:val="both"/>
              <w:rPr>
                <w:sz w:val="24"/>
                <w:szCs w:val="24"/>
              </w:rPr>
            </w:pPr>
            <w:r w:rsidRPr="006C5AE8">
              <w:rPr>
                <w:sz w:val="24"/>
                <w:szCs w:val="24"/>
              </w:rPr>
              <w:t xml:space="preserve">Zneškodníte obsah/nádobu </w:t>
            </w:r>
            <w:r w:rsidR="00044E0D">
              <w:rPr>
                <w:sz w:val="24"/>
                <w:szCs w:val="24"/>
              </w:rPr>
              <w:t>na skládku nebezpečného odpadu alebo odovzdajte na likvidáciu subjektu, ktorá má oprávnenie na zber, recykláciu a zneškodňovanie prázdnych obalov, v súlade s platným zákonom o odpadoch.</w:t>
            </w:r>
          </w:p>
        </w:tc>
      </w:tr>
      <w:tr w:rsidR="00044E0D" w:rsidRPr="00D802B4" w14:paraId="46D027B5" w14:textId="77777777" w:rsidTr="00044E0D">
        <w:tc>
          <w:tcPr>
            <w:tcW w:w="1971" w:type="dxa"/>
          </w:tcPr>
          <w:p w14:paraId="3FD85308" w14:textId="77777777" w:rsidR="00044E0D" w:rsidRPr="00CF2B71" w:rsidRDefault="00044E0D" w:rsidP="00246E6F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CF2B71">
              <w:rPr>
                <w:b/>
                <w:sz w:val="24"/>
                <w:szCs w:val="24"/>
              </w:rPr>
              <w:t>EUH401</w:t>
            </w:r>
          </w:p>
        </w:tc>
        <w:tc>
          <w:tcPr>
            <w:tcW w:w="7777" w:type="dxa"/>
          </w:tcPr>
          <w:p w14:paraId="68F62AAD" w14:textId="77777777" w:rsidR="00044E0D" w:rsidRPr="00CF2B71" w:rsidRDefault="00044E0D" w:rsidP="00EB38E6">
            <w:pPr>
              <w:rPr>
                <w:b/>
                <w:sz w:val="24"/>
                <w:szCs w:val="24"/>
              </w:rPr>
            </w:pPr>
            <w:r w:rsidRPr="00CF2B71">
              <w:rPr>
                <w:b/>
                <w:sz w:val="24"/>
                <w:szCs w:val="24"/>
              </w:rPr>
              <w:t>Dodržiavajte návod na používanie, aby ste zabránili vzniku rizík pre zdravie ľudí a životné prostredie.</w:t>
            </w:r>
          </w:p>
        </w:tc>
      </w:tr>
    </w:tbl>
    <w:p w14:paraId="4F788568" w14:textId="77777777" w:rsidR="00016667" w:rsidRPr="006C5AE8" w:rsidRDefault="00016667" w:rsidP="008D777B">
      <w:pPr>
        <w:pStyle w:val="Default"/>
        <w:jc w:val="both"/>
      </w:pPr>
    </w:p>
    <w:p w14:paraId="5DA2CC02" w14:textId="77777777" w:rsidR="00016667" w:rsidRPr="006C5AE8" w:rsidRDefault="00016667" w:rsidP="00016667">
      <w:pPr>
        <w:pStyle w:val="Default"/>
        <w:ind w:left="1418" w:hanging="1418"/>
        <w:jc w:val="both"/>
        <w:rPr>
          <w:b/>
          <w:color w:val="auto"/>
          <w:lang w:val="sk-SK"/>
        </w:rPr>
      </w:pPr>
      <w:r w:rsidRPr="006C5AE8">
        <w:rPr>
          <w:b/>
          <w:color w:val="auto"/>
          <w:lang w:val="sk-SK"/>
        </w:rPr>
        <w:t>SP1</w:t>
      </w:r>
      <w:r w:rsidRPr="006C5AE8">
        <w:rPr>
          <w:color w:val="auto"/>
          <w:lang w:val="sk-SK"/>
        </w:rPr>
        <w:t xml:space="preserve"> </w:t>
      </w:r>
      <w:r w:rsidRPr="006C5AE8">
        <w:rPr>
          <w:color w:val="auto"/>
          <w:lang w:val="sk-SK"/>
        </w:rPr>
        <w:tab/>
      </w:r>
      <w:r w:rsidRPr="006C5AE8">
        <w:rPr>
          <w:b/>
          <w:color w:val="auto"/>
          <w:lang w:val="sk-SK"/>
        </w:rPr>
        <w:t>Neznečisťujte vodu prípravkom alebo jeho obalom. (Nečistite aplikačné zariadenia v blízkosti povrchových vôd/zabráňte kontaminácii prostredníctvom odtokových kanálov z poľnohospodárskych dvorov a</w:t>
      </w:r>
      <w:r w:rsidR="00FE4A6B" w:rsidRPr="006C5AE8">
        <w:rPr>
          <w:b/>
          <w:color w:val="auto"/>
          <w:lang w:val="sk-SK"/>
        </w:rPr>
        <w:t> </w:t>
      </w:r>
      <w:r w:rsidR="00AF10E6">
        <w:rPr>
          <w:b/>
          <w:color w:val="auto"/>
          <w:lang w:val="sk-SK"/>
        </w:rPr>
        <w:t>vozoviek</w:t>
      </w:r>
      <w:r w:rsidRPr="006C5AE8">
        <w:rPr>
          <w:b/>
          <w:color w:val="auto"/>
          <w:lang w:val="sk-SK"/>
        </w:rPr>
        <w:t>).</w:t>
      </w:r>
    </w:p>
    <w:p w14:paraId="497951C7" w14:textId="597F863C" w:rsidR="005761EB" w:rsidRPr="006C5AE8" w:rsidRDefault="005761EB" w:rsidP="00016667">
      <w:pPr>
        <w:pStyle w:val="Default"/>
        <w:ind w:left="1418" w:hanging="1418"/>
        <w:jc w:val="both"/>
        <w:rPr>
          <w:b/>
          <w:color w:val="auto"/>
          <w:lang w:val="sk-SK"/>
        </w:rPr>
      </w:pPr>
      <w:r w:rsidRPr="006C5AE8">
        <w:rPr>
          <w:b/>
          <w:color w:val="auto"/>
          <w:lang w:val="sk-SK"/>
        </w:rPr>
        <w:t>SPe1</w:t>
      </w:r>
      <w:r w:rsidRPr="006C5AE8">
        <w:rPr>
          <w:b/>
          <w:color w:val="auto"/>
          <w:lang w:val="sk-SK"/>
        </w:rPr>
        <w:tab/>
        <w:t xml:space="preserve">Z dôvodu ochrany podzemnej vody nepoužívajte tento prípravok a iný prípravok obsahujúci účinnú zložku </w:t>
      </w:r>
      <w:r w:rsidR="004516AF">
        <w:rPr>
          <w:b/>
          <w:color w:val="auto"/>
          <w:lang w:val="sk-SK"/>
        </w:rPr>
        <w:t>medi</w:t>
      </w:r>
      <w:r w:rsidR="004516AF" w:rsidRPr="006C5AE8">
        <w:rPr>
          <w:b/>
          <w:color w:val="auto"/>
          <w:lang w:val="sk-SK"/>
        </w:rPr>
        <w:t xml:space="preserve"> </w:t>
      </w:r>
      <w:r w:rsidRPr="006C5AE8">
        <w:rPr>
          <w:b/>
          <w:color w:val="auto"/>
          <w:lang w:val="sk-SK"/>
        </w:rPr>
        <w:t xml:space="preserve">v dávke vyššej ako </w:t>
      </w:r>
      <w:r w:rsidR="004516AF">
        <w:rPr>
          <w:b/>
          <w:color w:val="auto"/>
          <w:lang w:val="sk-SK"/>
        </w:rPr>
        <w:t>4</w:t>
      </w:r>
      <w:r w:rsidR="00886389" w:rsidRPr="006C5AE8">
        <w:rPr>
          <w:b/>
          <w:color w:val="auto"/>
          <w:lang w:val="sk-SK"/>
        </w:rPr>
        <w:t xml:space="preserve"> </w:t>
      </w:r>
      <w:r w:rsidRPr="006C5AE8">
        <w:rPr>
          <w:b/>
          <w:color w:val="auto"/>
          <w:lang w:val="sk-SK"/>
        </w:rPr>
        <w:t>kg/ha za sezónu na rovnakom pozemku.</w:t>
      </w:r>
      <w:r w:rsidR="004516AF">
        <w:rPr>
          <w:b/>
          <w:color w:val="auto"/>
          <w:lang w:val="sk-SK"/>
        </w:rPr>
        <w:t xml:space="preserve"> Pri dlhodobej aplikácií prípravkov s obsahom medi neaplikovať viac ako 3 kg/ha medi za sezónu.</w:t>
      </w:r>
    </w:p>
    <w:p w14:paraId="4E430C18" w14:textId="26B28BF8" w:rsidR="00016667" w:rsidRDefault="00016667" w:rsidP="006C5AE8">
      <w:pPr>
        <w:ind w:left="1409" w:hanging="1410"/>
        <w:outlineLvl w:val="0"/>
        <w:rPr>
          <w:b/>
          <w:sz w:val="24"/>
          <w:szCs w:val="24"/>
        </w:rPr>
      </w:pPr>
      <w:r w:rsidRPr="006C5AE8">
        <w:rPr>
          <w:b/>
          <w:sz w:val="24"/>
          <w:szCs w:val="24"/>
        </w:rPr>
        <w:lastRenderedPageBreak/>
        <w:t>SPe3</w:t>
      </w:r>
      <w:r w:rsidR="006C5AE8" w:rsidRPr="006C5AE8">
        <w:rPr>
          <w:b/>
          <w:sz w:val="24"/>
          <w:szCs w:val="24"/>
        </w:rPr>
        <w:tab/>
      </w:r>
      <w:r w:rsidR="006C5AE8" w:rsidRPr="006C5AE8">
        <w:rPr>
          <w:b/>
          <w:sz w:val="24"/>
          <w:szCs w:val="24"/>
        </w:rPr>
        <w:tab/>
      </w:r>
      <w:r w:rsidR="005761EB" w:rsidRPr="006C5AE8">
        <w:rPr>
          <w:b/>
          <w:sz w:val="24"/>
          <w:szCs w:val="24"/>
        </w:rPr>
        <w:t xml:space="preserve">Z dôvodu </w:t>
      </w:r>
      <w:r w:rsidRPr="006C5AE8">
        <w:rPr>
          <w:b/>
          <w:sz w:val="24"/>
          <w:szCs w:val="24"/>
        </w:rPr>
        <w:t xml:space="preserve">ochrany vodných organizmov </w:t>
      </w:r>
      <w:r w:rsidR="005761EB" w:rsidRPr="006C5AE8">
        <w:rPr>
          <w:b/>
          <w:sz w:val="24"/>
          <w:szCs w:val="24"/>
        </w:rPr>
        <w:t>udržiavajte medzi ošetrovanou plochou a povrchovými vodnými plochami ochranný</w:t>
      </w:r>
      <w:r w:rsidRPr="006C5AE8">
        <w:rPr>
          <w:b/>
          <w:sz w:val="24"/>
          <w:szCs w:val="24"/>
        </w:rPr>
        <w:t xml:space="preserve"> </w:t>
      </w:r>
      <w:r w:rsidR="005761EB" w:rsidRPr="006C5AE8">
        <w:rPr>
          <w:b/>
          <w:sz w:val="24"/>
          <w:szCs w:val="24"/>
        </w:rPr>
        <w:t>pás zeme v dĺžke 5 m</w:t>
      </w:r>
      <w:r w:rsidRPr="006C5AE8">
        <w:rPr>
          <w:b/>
          <w:sz w:val="24"/>
          <w:szCs w:val="24"/>
        </w:rPr>
        <w:t>.</w:t>
      </w:r>
    </w:p>
    <w:p w14:paraId="2AB06A35" w14:textId="27AB153E" w:rsidR="0061614A" w:rsidRDefault="0061614A" w:rsidP="006C5AE8">
      <w:pPr>
        <w:ind w:left="1409" w:hanging="141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SPe3</w:t>
      </w:r>
      <w:r>
        <w:rPr>
          <w:b/>
          <w:sz w:val="24"/>
          <w:szCs w:val="24"/>
        </w:rPr>
        <w:tab/>
        <w:t>Z dôvodu ochrany biodiverzity užitočného hmyzu dodržte ochranný zónu 5 m od nepoľnohospodárskych pozemkov.</w:t>
      </w:r>
    </w:p>
    <w:p w14:paraId="695ABE78" w14:textId="3E8FCD6E" w:rsidR="00044E0D" w:rsidRPr="006C5AE8" w:rsidRDefault="00044E0D" w:rsidP="00CF2B71">
      <w:pPr>
        <w:ind w:left="1409" w:hanging="141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Spe4</w:t>
      </w:r>
      <w:r>
        <w:rPr>
          <w:b/>
          <w:sz w:val="24"/>
          <w:szCs w:val="24"/>
        </w:rPr>
        <w:tab/>
      </w:r>
      <w:r w:rsidRPr="00044E0D">
        <w:rPr>
          <w:b/>
          <w:sz w:val="24"/>
          <w:szCs w:val="24"/>
        </w:rPr>
        <w:t>Z dôvodu ochrany vodných organizmov</w:t>
      </w:r>
      <w:r>
        <w:rPr>
          <w:b/>
          <w:sz w:val="24"/>
          <w:szCs w:val="24"/>
        </w:rPr>
        <w:t xml:space="preserve"> a </w:t>
      </w:r>
      <w:r w:rsidRPr="00044E0D">
        <w:rPr>
          <w:b/>
          <w:sz w:val="24"/>
          <w:szCs w:val="24"/>
        </w:rPr>
        <w:t>necielených rastlín neaplikujte na</w:t>
      </w:r>
      <w:r>
        <w:rPr>
          <w:b/>
          <w:sz w:val="24"/>
          <w:szCs w:val="24"/>
        </w:rPr>
        <w:t> </w:t>
      </w:r>
      <w:r w:rsidRPr="00044E0D">
        <w:rPr>
          <w:b/>
          <w:sz w:val="24"/>
          <w:szCs w:val="24"/>
        </w:rPr>
        <w:t>nepriepustné povrchy ako je asfalt, betón, dlažobné kocky, koľajnice a iné povrchy, pri ktorých je zvýšené riziko stekania vody.</w:t>
      </w:r>
    </w:p>
    <w:p w14:paraId="7D33D586" w14:textId="77777777" w:rsidR="006C5AE8" w:rsidRPr="006C5AE8" w:rsidRDefault="006C5AE8" w:rsidP="006C5AE8">
      <w:pPr>
        <w:ind w:left="1409" w:hanging="1410"/>
        <w:outlineLvl w:val="0"/>
        <w:rPr>
          <w:b/>
          <w:sz w:val="24"/>
          <w:szCs w:val="24"/>
        </w:rPr>
      </w:pPr>
    </w:p>
    <w:p w14:paraId="48936998" w14:textId="77777777" w:rsidR="00985ED8" w:rsidRPr="00985ED8" w:rsidRDefault="008314B7" w:rsidP="00985ED8">
      <w:pPr>
        <w:autoSpaceDE/>
        <w:autoSpaceDN/>
        <w:ind w:left="1409" w:hanging="1409"/>
        <w:jc w:val="both"/>
        <w:rPr>
          <w:rFonts w:ascii="Verdana" w:hAnsi="Verdana"/>
          <w:color w:val="37464F"/>
        </w:rPr>
      </w:pPr>
      <w:r w:rsidRPr="006C5AE8">
        <w:rPr>
          <w:b/>
          <w:sz w:val="24"/>
          <w:szCs w:val="24"/>
        </w:rPr>
        <w:t xml:space="preserve">Z4 </w:t>
      </w:r>
      <w:r w:rsidRPr="006C5AE8">
        <w:rPr>
          <w:b/>
          <w:sz w:val="24"/>
          <w:szCs w:val="24"/>
        </w:rPr>
        <w:tab/>
      </w:r>
      <w:r w:rsidR="00985ED8">
        <w:rPr>
          <w:b/>
          <w:sz w:val="24"/>
          <w:szCs w:val="24"/>
        </w:rPr>
        <w:tab/>
      </w:r>
      <w:r w:rsidR="00985ED8" w:rsidRPr="00985ED8">
        <w:rPr>
          <w:b/>
          <w:sz w:val="24"/>
          <w:szCs w:val="24"/>
          <w:lang w:eastAsia="cs-CZ"/>
        </w:rPr>
        <w:t>Riziko vyplývajúce z použitia prípravku pri dodržaní predpísanej dávky alebo koncentrácie je pre domáce, hospodárske a voľne žijúce zvieratá relatívne prijateľné.</w:t>
      </w:r>
    </w:p>
    <w:p w14:paraId="5A46C60E" w14:textId="77777777" w:rsidR="008314B7" w:rsidRPr="006C5AE8" w:rsidRDefault="00777404" w:rsidP="00985ED8">
      <w:pPr>
        <w:pStyle w:val="Default"/>
        <w:ind w:left="1409" w:hanging="1409"/>
        <w:jc w:val="both"/>
        <w:rPr>
          <w:b/>
          <w:color w:val="auto"/>
          <w:lang w:val="sk-SK"/>
        </w:rPr>
      </w:pPr>
      <w:r w:rsidRPr="006C5AE8">
        <w:rPr>
          <w:b/>
          <w:color w:val="auto"/>
          <w:lang w:val="sk-SK"/>
        </w:rPr>
        <w:t>Vt</w:t>
      </w:r>
      <w:r w:rsidR="008314B7" w:rsidRPr="006C5AE8">
        <w:rPr>
          <w:b/>
          <w:color w:val="auto"/>
          <w:lang w:val="sk-SK"/>
        </w:rPr>
        <w:t>5</w:t>
      </w:r>
      <w:r w:rsidR="008314B7" w:rsidRPr="006C5AE8">
        <w:rPr>
          <w:b/>
          <w:color w:val="auto"/>
          <w:lang w:val="sk-SK"/>
        </w:rPr>
        <w:tab/>
      </w:r>
      <w:r w:rsidR="00985ED8">
        <w:rPr>
          <w:b/>
          <w:color w:val="auto"/>
          <w:lang w:val="sk-SK"/>
        </w:rPr>
        <w:tab/>
      </w:r>
      <w:r w:rsidR="008314B7" w:rsidRPr="006C5AE8">
        <w:rPr>
          <w:b/>
          <w:color w:val="auto"/>
          <w:lang w:val="sk-SK"/>
        </w:rPr>
        <w:t>Riziko vyplývajúce z použitia prípravku je pri dodržaní predpísanej dávky alebo koncentrácie pre vtáky prijateľné</w:t>
      </w:r>
      <w:r w:rsidR="00CA5797" w:rsidRPr="006C5AE8">
        <w:rPr>
          <w:b/>
          <w:color w:val="auto"/>
          <w:lang w:val="sk-SK"/>
        </w:rPr>
        <w:t>.</w:t>
      </w:r>
    </w:p>
    <w:p w14:paraId="6828FF1E" w14:textId="22ECC751" w:rsidR="008314B7" w:rsidRPr="006C5AE8" w:rsidRDefault="00777404" w:rsidP="00A776F1">
      <w:pPr>
        <w:pStyle w:val="Default"/>
        <w:ind w:left="1418" w:hanging="1418"/>
        <w:jc w:val="both"/>
        <w:rPr>
          <w:b/>
          <w:color w:val="auto"/>
          <w:lang w:val="sk-SK"/>
        </w:rPr>
      </w:pPr>
      <w:r w:rsidRPr="006C5AE8">
        <w:rPr>
          <w:b/>
          <w:color w:val="auto"/>
          <w:lang w:val="sk-SK"/>
        </w:rPr>
        <w:t>Vo</w:t>
      </w:r>
      <w:r w:rsidR="008314B7" w:rsidRPr="006C5AE8">
        <w:rPr>
          <w:b/>
          <w:color w:val="auto"/>
          <w:lang w:val="sk-SK"/>
        </w:rPr>
        <w:t>1</w:t>
      </w:r>
      <w:r w:rsidR="008314B7" w:rsidRPr="006C5AE8">
        <w:rPr>
          <w:b/>
          <w:color w:val="auto"/>
          <w:lang w:val="sk-SK"/>
        </w:rPr>
        <w:tab/>
        <w:t xml:space="preserve">Pre ryby a ostatné vodné </w:t>
      </w:r>
      <w:r w:rsidR="00985ED8">
        <w:rPr>
          <w:b/>
          <w:color w:val="auto"/>
          <w:lang w:val="sk-SK"/>
        </w:rPr>
        <w:t>or</w:t>
      </w:r>
      <w:r w:rsidR="000314AA">
        <w:rPr>
          <w:b/>
          <w:color w:val="auto"/>
          <w:lang w:val="sk-SK"/>
        </w:rPr>
        <w:t>g</w:t>
      </w:r>
      <w:r w:rsidR="00985ED8">
        <w:rPr>
          <w:b/>
          <w:color w:val="auto"/>
          <w:lang w:val="sk-SK"/>
        </w:rPr>
        <w:t>anizmy</w:t>
      </w:r>
      <w:r w:rsidR="008314B7" w:rsidRPr="006C5AE8">
        <w:rPr>
          <w:b/>
          <w:color w:val="auto"/>
          <w:lang w:val="sk-SK"/>
        </w:rPr>
        <w:t xml:space="preserve"> mimoriadne jedovatý</w:t>
      </w:r>
      <w:r w:rsidR="00CA5797" w:rsidRPr="006C5AE8">
        <w:rPr>
          <w:b/>
          <w:color w:val="auto"/>
          <w:lang w:val="sk-SK"/>
        </w:rPr>
        <w:t>.</w:t>
      </w:r>
    </w:p>
    <w:p w14:paraId="4472A62D" w14:textId="6D0A5A27" w:rsidR="00044E0D" w:rsidRDefault="00777404" w:rsidP="00E23237">
      <w:pPr>
        <w:pStyle w:val="Default"/>
        <w:ind w:left="1418" w:hanging="1418"/>
        <w:jc w:val="both"/>
        <w:rPr>
          <w:b/>
          <w:color w:val="auto"/>
          <w:lang w:val="sk-SK"/>
        </w:rPr>
      </w:pPr>
      <w:r w:rsidRPr="006C5AE8">
        <w:rPr>
          <w:b/>
          <w:color w:val="auto"/>
          <w:lang w:val="sk-SK"/>
        </w:rPr>
        <w:t>V</w:t>
      </w:r>
      <w:r w:rsidR="008314B7" w:rsidRPr="006C5AE8">
        <w:rPr>
          <w:b/>
          <w:color w:val="auto"/>
          <w:lang w:val="sk-SK"/>
        </w:rPr>
        <w:t xml:space="preserve">3 </w:t>
      </w:r>
      <w:r w:rsidR="008314B7" w:rsidRPr="006C5AE8">
        <w:rPr>
          <w:b/>
          <w:color w:val="auto"/>
          <w:lang w:val="sk-SK"/>
        </w:rPr>
        <w:tab/>
        <w:t xml:space="preserve">Riziko </w:t>
      </w:r>
      <w:r w:rsidR="00985ED8">
        <w:rPr>
          <w:b/>
          <w:color w:val="auto"/>
          <w:lang w:val="sk-SK"/>
        </w:rPr>
        <w:t>prípravku je prijateľné pre</w:t>
      </w:r>
      <w:r w:rsidR="005761EB" w:rsidRPr="006C5AE8">
        <w:rPr>
          <w:b/>
          <w:color w:val="auto"/>
          <w:lang w:val="sk-SK"/>
        </w:rPr>
        <w:t xml:space="preserve"> </w:t>
      </w:r>
      <w:r w:rsidR="008314B7" w:rsidRPr="006C5AE8">
        <w:rPr>
          <w:b/>
          <w:color w:val="auto"/>
          <w:lang w:val="sk-SK"/>
        </w:rPr>
        <w:t>dážďovky</w:t>
      </w:r>
      <w:r w:rsidR="005761EB" w:rsidRPr="006C5AE8">
        <w:rPr>
          <w:b/>
          <w:color w:val="auto"/>
          <w:lang w:val="sk-SK"/>
        </w:rPr>
        <w:t xml:space="preserve"> a iné pôdne makroorganizmy.</w:t>
      </w:r>
    </w:p>
    <w:p w14:paraId="56A7D1E4" w14:textId="4ADABC32" w:rsidR="00D1265F" w:rsidRPr="006C5AE8" w:rsidRDefault="008314B7" w:rsidP="00E23237">
      <w:pPr>
        <w:pStyle w:val="Default"/>
        <w:ind w:left="1418" w:hanging="1418"/>
        <w:jc w:val="both"/>
        <w:rPr>
          <w:b/>
          <w:color w:val="auto"/>
          <w:lang w:val="sk-SK"/>
        </w:rPr>
      </w:pPr>
      <w:r w:rsidRPr="006C5AE8">
        <w:rPr>
          <w:b/>
          <w:color w:val="auto"/>
          <w:lang w:val="sk-SK"/>
        </w:rPr>
        <w:t xml:space="preserve">Vč3 </w:t>
      </w:r>
      <w:r w:rsidRPr="006C5AE8">
        <w:rPr>
          <w:b/>
          <w:color w:val="auto"/>
          <w:lang w:val="sk-SK"/>
        </w:rPr>
        <w:tab/>
      </w:r>
      <w:r w:rsidR="005A764A" w:rsidRPr="006C5AE8">
        <w:rPr>
          <w:b/>
          <w:color w:val="auto"/>
          <w:lang w:val="sk-SK"/>
        </w:rPr>
        <w:t>Prípravok pre včely s prijateľným rizikom pri dodržaní predp</w:t>
      </w:r>
      <w:r w:rsidR="00985ED8">
        <w:rPr>
          <w:b/>
          <w:color w:val="auto"/>
          <w:lang w:val="sk-SK"/>
        </w:rPr>
        <w:t>ísanej dávky alebo koncentrácie.</w:t>
      </w:r>
    </w:p>
    <w:p w14:paraId="7F2C09F1" w14:textId="7E8FD349" w:rsidR="005A764A" w:rsidRDefault="005A764A" w:rsidP="005A764A">
      <w:pPr>
        <w:pStyle w:val="Default"/>
        <w:ind w:left="1418" w:hanging="1418"/>
        <w:jc w:val="both"/>
        <w:rPr>
          <w:b/>
          <w:color w:val="auto"/>
          <w:lang w:val="sk-SK"/>
        </w:rPr>
      </w:pPr>
      <w:r w:rsidRPr="006C5AE8">
        <w:rPr>
          <w:b/>
          <w:color w:val="auto"/>
          <w:lang w:val="sk-SK"/>
        </w:rPr>
        <w:tab/>
        <w:t xml:space="preserve">Prípravok je pre </w:t>
      </w:r>
      <w:r w:rsidR="0061614A" w:rsidRPr="006C5AE8">
        <w:rPr>
          <w:b/>
          <w:color w:val="auto"/>
          <w:lang w:val="sk-SK"/>
        </w:rPr>
        <w:t>populáci</w:t>
      </w:r>
      <w:r w:rsidR="0061614A">
        <w:rPr>
          <w:b/>
          <w:color w:val="auto"/>
          <w:lang w:val="sk-SK"/>
        </w:rPr>
        <w:t xml:space="preserve">u </w:t>
      </w:r>
      <w:proofErr w:type="spellStart"/>
      <w:r w:rsidR="0061614A" w:rsidRPr="00CF2B71">
        <w:rPr>
          <w:b/>
          <w:i/>
          <w:color w:val="auto"/>
          <w:lang w:val="sk-SK"/>
        </w:rPr>
        <w:t>Typhlodromus</w:t>
      </w:r>
      <w:proofErr w:type="spellEnd"/>
      <w:r w:rsidR="0061614A" w:rsidRPr="00CF2B71">
        <w:rPr>
          <w:b/>
          <w:i/>
          <w:color w:val="auto"/>
          <w:lang w:val="sk-SK"/>
        </w:rPr>
        <w:t xml:space="preserve"> </w:t>
      </w:r>
      <w:proofErr w:type="spellStart"/>
      <w:r w:rsidR="0061614A" w:rsidRPr="00CF2B71">
        <w:rPr>
          <w:b/>
          <w:i/>
          <w:color w:val="auto"/>
          <w:lang w:val="sk-SK"/>
        </w:rPr>
        <w:t>pyri</w:t>
      </w:r>
      <w:proofErr w:type="spellEnd"/>
      <w:r w:rsidR="0061614A">
        <w:rPr>
          <w:b/>
          <w:color w:val="auto"/>
          <w:lang w:val="sk-SK"/>
        </w:rPr>
        <w:t xml:space="preserve"> a </w:t>
      </w:r>
      <w:proofErr w:type="spellStart"/>
      <w:r w:rsidR="0061614A" w:rsidRPr="00CF2B71">
        <w:rPr>
          <w:b/>
          <w:i/>
          <w:color w:val="auto"/>
          <w:lang w:val="sk-SK"/>
        </w:rPr>
        <w:t>Aphidius</w:t>
      </w:r>
      <w:proofErr w:type="spellEnd"/>
      <w:r w:rsidR="0061614A" w:rsidRPr="00CF2B71">
        <w:rPr>
          <w:b/>
          <w:i/>
          <w:color w:val="auto"/>
          <w:lang w:val="sk-SK"/>
        </w:rPr>
        <w:t xml:space="preserve"> </w:t>
      </w:r>
      <w:proofErr w:type="spellStart"/>
      <w:r w:rsidR="0061614A" w:rsidRPr="00CF2B71">
        <w:rPr>
          <w:b/>
          <w:i/>
          <w:color w:val="auto"/>
          <w:lang w:val="sk-SK"/>
        </w:rPr>
        <w:t>rhopalosiphi</w:t>
      </w:r>
      <w:proofErr w:type="spellEnd"/>
      <w:r w:rsidR="0061614A">
        <w:rPr>
          <w:b/>
          <w:color w:val="auto"/>
          <w:lang w:val="sk-SK"/>
        </w:rPr>
        <w:t xml:space="preserve"> s</w:t>
      </w:r>
      <w:r w:rsidR="00105EC4">
        <w:rPr>
          <w:b/>
          <w:color w:val="auto"/>
          <w:lang w:val="sk-SK"/>
        </w:rPr>
        <w:t> </w:t>
      </w:r>
      <w:r w:rsidRPr="006C5AE8">
        <w:rPr>
          <w:b/>
          <w:color w:val="auto"/>
          <w:lang w:val="sk-SK"/>
        </w:rPr>
        <w:t>prijateľným rizikom</w:t>
      </w:r>
      <w:r w:rsidR="0061614A">
        <w:rPr>
          <w:b/>
          <w:color w:val="auto"/>
          <w:lang w:val="sk-SK"/>
        </w:rPr>
        <w:t xml:space="preserve"> pro dodržaní predpísanej dávky alebo koncentrácie a dodržaní návodu na použitie</w:t>
      </w:r>
      <w:r w:rsidRPr="006C5AE8">
        <w:rPr>
          <w:b/>
          <w:color w:val="auto"/>
          <w:lang w:val="sk-SK"/>
        </w:rPr>
        <w:t>.</w:t>
      </w:r>
    </w:p>
    <w:p w14:paraId="2972AF8F" w14:textId="1EE8B66B" w:rsidR="0061614A" w:rsidRPr="0061614A" w:rsidRDefault="0061614A" w:rsidP="00CF2B71">
      <w:pPr>
        <w:pStyle w:val="Default"/>
        <w:ind w:left="1418"/>
        <w:jc w:val="both"/>
        <w:rPr>
          <w:b/>
          <w:color w:val="auto"/>
          <w:lang w:val="sk-SK"/>
        </w:rPr>
      </w:pPr>
      <w:r>
        <w:rPr>
          <w:b/>
          <w:color w:val="auto"/>
          <w:lang w:val="sk-SK"/>
        </w:rPr>
        <w:t xml:space="preserve">Z dôvodu ochrany včiel a iného opeľujúceho hmyzu zabezpečte pred aplikáciou prípravku na ochranu rastlín FLOWBRIX likvidáciu kvitnúcich burín vhodnými herbicídnymi prípravkami (za kvitnúci porast </w:t>
      </w:r>
      <w:r w:rsidR="00177149">
        <w:rPr>
          <w:b/>
          <w:color w:val="auto"/>
          <w:lang w:val="sk-SK"/>
        </w:rPr>
        <w:t>sa</w:t>
      </w:r>
      <w:r>
        <w:rPr>
          <w:b/>
          <w:color w:val="auto"/>
          <w:lang w:val="sk-SK"/>
        </w:rPr>
        <w:t xml:space="preserve"> považuje, ak sa v ňom na 1 m</w:t>
      </w:r>
      <w:r>
        <w:rPr>
          <w:b/>
          <w:color w:val="auto"/>
          <w:vertAlign w:val="superscript"/>
          <w:lang w:val="sk-SK"/>
        </w:rPr>
        <w:t>2</w:t>
      </w:r>
      <w:r>
        <w:rPr>
          <w:b/>
          <w:color w:val="auto"/>
          <w:lang w:val="sk-SK"/>
        </w:rPr>
        <w:t xml:space="preserve"> nachádzajú najmenej 2 kvitnúce rastliny/buriny).</w:t>
      </w:r>
    </w:p>
    <w:p w14:paraId="578654E4" w14:textId="77777777" w:rsidR="006C5AE8" w:rsidRPr="006C5AE8" w:rsidRDefault="006C5AE8" w:rsidP="005A764A">
      <w:pPr>
        <w:pStyle w:val="Default"/>
        <w:ind w:left="1418" w:hanging="1418"/>
        <w:jc w:val="both"/>
        <w:rPr>
          <w:rStyle w:val="Zvraznenie"/>
          <w:b/>
          <w:i w:val="0"/>
        </w:rPr>
      </w:pPr>
    </w:p>
    <w:p w14:paraId="57738FDC" w14:textId="71F30C2B" w:rsidR="008314B7" w:rsidRDefault="00B0692D" w:rsidP="00B0692D">
      <w:pPr>
        <w:ind w:right="-828"/>
        <w:jc w:val="both"/>
        <w:rPr>
          <w:b/>
          <w:bCs/>
          <w:sz w:val="24"/>
          <w:szCs w:val="24"/>
        </w:rPr>
      </w:pPr>
      <w:r w:rsidRPr="006C5AE8">
        <w:rPr>
          <w:b/>
          <w:bCs/>
          <w:sz w:val="24"/>
          <w:szCs w:val="24"/>
        </w:rPr>
        <w:t>Zákaz používania prípravku v 1. ochrannom pásme zdrojov pitných vôd!</w:t>
      </w:r>
    </w:p>
    <w:p w14:paraId="15DCAF4B" w14:textId="77777777" w:rsidR="00105EC4" w:rsidRDefault="00105EC4" w:rsidP="00B0692D">
      <w:pPr>
        <w:ind w:right="-82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 ochrannom pásme povrchových vôd 2. stupňa je použitie prípravku obmedzené. </w:t>
      </w:r>
    </w:p>
    <w:p w14:paraId="1426B028" w14:textId="293DEAAE" w:rsidR="00105EC4" w:rsidRDefault="00105EC4" w:rsidP="00105EC4">
      <w:pPr>
        <w:ind w:right="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Prípravok sa môže použiť v ochrannom pásme 2. stupňa vodárenského zdroja povrchových vôd, ak je dodržaná neošetrená zóna v šírke minimálne dvojnásobku šírky koryta toku alebo 50 m široký neošetrený pás smerom k vodnému toku a vodnej ploche a 10 m smerom k najbližšiemu odvodňovaciemu kanálu.</w:t>
      </w:r>
    </w:p>
    <w:p w14:paraId="4760EB61" w14:textId="2EA56484" w:rsidR="00105EC4" w:rsidRPr="006C5AE8" w:rsidRDefault="00105EC4" w:rsidP="00105EC4">
      <w:pPr>
        <w:ind w:right="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Prípravok sa nesmie použiť v ochrannom pásme 2. stupňa vodárenského zdroja povrchových vôd na svahovitých pozemkoch nad 7°, kde je riziko splavovania prípravku do povrchových vôd, </w:t>
      </w:r>
      <w:proofErr w:type="spellStart"/>
      <w:r>
        <w:rPr>
          <w:b/>
          <w:bCs/>
          <w:sz w:val="24"/>
          <w:szCs w:val="24"/>
        </w:rPr>
        <w:t>t.j</w:t>
      </w:r>
      <w:proofErr w:type="spellEnd"/>
      <w:r>
        <w:rPr>
          <w:b/>
          <w:bCs/>
          <w:sz w:val="24"/>
          <w:szCs w:val="24"/>
        </w:rPr>
        <w:t>. ak sú očakávané dažďové zrážky v priebehu 24 hodín.</w:t>
      </w:r>
    </w:p>
    <w:p w14:paraId="0762CD62" w14:textId="43E8FCB2" w:rsidR="005A764A" w:rsidRPr="00CF2B71" w:rsidRDefault="00044E0D" w:rsidP="00B0692D">
      <w:pPr>
        <w:ind w:right="-1"/>
        <w:jc w:val="both"/>
        <w:rPr>
          <w:b/>
          <w:bCs/>
          <w:sz w:val="24"/>
          <w:szCs w:val="24"/>
        </w:rPr>
      </w:pPr>
      <w:r w:rsidRPr="00CF2B71">
        <w:rPr>
          <w:b/>
          <w:bCs/>
          <w:sz w:val="24"/>
          <w:szCs w:val="24"/>
        </w:rPr>
        <w:t>Neaplikujte v blízkosti hladín tečúcich a stojatých vôd!</w:t>
      </w:r>
      <w:r w:rsidR="00886389" w:rsidRPr="00CF2B71">
        <w:rPr>
          <w:b/>
          <w:bCs/>
          <w:sz w:val="24"/>
          <w:szCs w:val="24"/>
        </w:rPr>
        <w:t xml:space="preserve"> </w:t>
      </w:r>
      <w:r w:rsidRPr="00CF2B71">
        <w:rPr>
          <w:b/>
          <w:bCs/>
          <w:sz w:val="24"/>
          <w:szCs w:val="24"/>
        </w:rPr>
        <w:t>Dodržujte ochranný zónu!</w:t>
      </w:r>
    </w:p>
    <w:p w14:paraId="746DCFA3" w14:textId="77777777" w:rsidR="005A764A" w:rsidRPr="006C5AE8" w:rsidRDefault="005A764A" w:rsidP="00B0692D">
      <w:pPr>
        <w:ind w:right="-1"/>
        <w:jc w:val="both"/>
        <w:rPr>
          <w:b/>
          <w:bCs/>
          <w:sz w:val="24"/>
          <w:szCs w:val="24"/>
        </w:rPr>
      </w:pPr>
      <w:r w:rsidRPr="006C5AE8">
        <w:rPr>
          <w:b/>
          <w:bCs/>
          <w:sz w:val="24"/>
          <w:szCs w:val="24"/>
        </w:rPr>
        <w:t>Dbajte o to, aby sa prípravok v žiadnom prípade nedostal do tečúcich a stojatých vôd vo voľnej prírode!</w:t>
      </w:r>
    </w:p>
    <w:p w14:paraId="33C39268" w14:textId="77777777" w:rsidR="00B0692D" w:rsidRPr="006C5AE8" w:rsidRDefault="00B0692D" w:rsidP="00B0692D">
      <w:pPr>
        <w:ind w:right="-1"/>
        <w:jc w:val="both"/>
        <w:rPr>
          <w:b/>
          <w:bCs/>
          <w:sz w:val="24"/>
          <w:szCs w:val="24"/>
        </w:rPr>
      </w:pPr>
      <w:r w:rsidRPr="006C5AE8">
        <w:rPr>
          <w:b/>
          <w:bCs/>
          <w:sz w:val="24"/>
          <w:szCs w:val="24"/>
        </w:rPr>
        <w:t>Neaplikujte, ak sa v poraste ošetrovaného viniča nachádzajú kvitnúce buriny. Zabráňte úletom postrekovej kvapalin</w:t>
      </w:r>
      <w:r w:rsidR="005A764A" w:rsidRPr="006C5AE8">
        <w:rPr>
          <w:b/>
          <w:bCs/>
          <w:sz w:val="24"/>
          <w:szCs w:val="24"/>
        </w:rPr>
        <w:t>y na necieľový kvitnúci porast.</w:t>
      </w:r>
    </w:p>
    <w:p w14:paraId="70D472B9" w14:textId="77777777" w:rsidR="00B0692D" w:rsidRPr="006C5AE8" w:rsidRDefault="00B0692D" w:rsidP="00B0692D">
      <w:pPr>
        <w:ind w:right="-1"/>
        <w:jc w:val="both"/>
        <w:rPr>
          <w:b/>
          <w:bCs/>
          <w:sz w:val="24"/>
          <w:szCs w:val="24"/>
        </w:rPr>
      </w:pPr>
      <w:r w:rsidRPr="006C5AE8">
        <w:rPr>
          <w:b/>
          <w:bCs/>
          <w:sz w:val="24"/>
          <w:szCs w:val="24"/>
        </w:rPr>
        <w:t xml:space="preserve">Pre minimalizáciu rizika poškodenia včiel </w:t>
      </w:r>
      <w:r w:rsidR="00016667" w:rsidRPr="006C5AE8">
        <w:rPr>
          <w:b/>
          <w:bCs/>
          <w:sz w:val="24"/>
          <w:szCs w:val="24"/>
        </w:rPr>
        <w:t>zabráňte</w:t>
      </w:r>
      <w:r w:rsidRPr="006C5AE8">
        <w:rPr>
          <w:b/>
          <w:bCs/>
          <w:sz w:val="24"/>
          <w:szCs w:val="24"/>
        </w:rPr>
        <w:t xml:space="preserve"> možnej kontaminácii kvitnúcich burín</w:t>
      </w:r>
    </w:p>
    <w:p w14:paraId="21422655" w14:textId="2DEAD201" w:rsidR="00B0692D" w:rsidRPr="006C5AE8" w:rsidRDefault="00016667" w:rsidP="00B0692D">
      <w:pPr>
        <w:ind w:right="-1"/>
        <w:jc w:val="both"/>
        <w:rPr>
          <w:b/>
          <w:bCs/>
          <w:sz w:val="24"/>
          <w:szCs w:val="24"/>
        </w:rPr>
      </w:pPr>
      <w:r w:rsidRPr="006C5AE8">
        <w:rPr>
          <w:b/>
          <w:bCs/>
          <w:sz w:val="24"/>
          <w:szCs w:val="24"/>
        </w:rPr>
        <w:t>v ošetrovanej kultúre!</w:t>
      </w:r>
      <w:r w:rsidR="00065854">
        <w:rPr>
          <w:b/>
          <w:bCs/>
          <w:sz w:val="24"/>
          <w:szCs w:val="24"/>
        </w:rPr>
        <w:t xml:space="preserve"> </w:t>
      </w:r>
      <w:r w:rsidR="00065854" w:rsidRPr="00065854">
        <w:rPr>
          <w:b/>
          <w:bCs/>
          <w:sz w:val="24"/>
          <w:szCs w:val="24"/>
        </w:rPr>
        <w:t>Pred aplikáciou odstráňte kvitnúce buriny! Neaplikujte na jahody v čase kvetu!</w:t>
      </w:r>
    </w:p>
    <w:p w14:paraId="01C55FED" w14:textId="4C72BC91" w:rsidR="00200A1B" w:rsidRPr="006C5AE8" w:rsidRDefault="00200A1B" w:rsidP="00B0692D">
      <w:pPr>
        <w:ind w:right="-1"/>
        <w:jc w:val="both"/>
        <w:rPr>
          <w:b/>
          <w:bCs/>
          <w:sz w:val="24"/>
          <w:szCs w:val="24"/>
        </w:rPr>
      </w:pPr>
      <w:r w:rsidRPr="006C5AE8">
        <w:rPr>
          <w:b/>
          <w:bCs/>
          <w:sz w:val="24"/>
          <w:szCs w:val="24"/>
        </w:rPr>
        <w:t>Uložte mimo dosah</w:t>
      </w:r>
      <w:r w:rsidR="00E12C92">
        <w:rPr>
          <w:b/>
          <w:bCs/>
          <w:sz w:val="24"/>
          <w:szCs w:val="24"/>
        </w:rPr>
        <w:t>u</w:t>
      </w:r>
      <w:r w:rsidRPr="006C5AE8">
        <w:rPr>
          <w:b/>
          <w:bCs/>
          <w:sz w:val="24"/>
          <w:szCs w:val="24"/>
        </w:rPr>
        <w:t xml:space="preserve"> zvierat!</w:t>
      </w:r>
    </w:p>
    <w:p w14:paraId="0BFDC0CC" w14:textId="77777777" w:rsidR="00200A1B" w:rsidRDefault="00200A1B" w:rsidP="00B0692D">
      <w:pPr>
        <w:ind w:right="-1"/>
        <w:jc w:val="both"/>
        <w:rPr>
          <w:bCs/>
          <w:caps/>
          <w:sz w:val="24"/>
          <w:szCs w:val="24"/>
        </w:rPr>
      </w:pPr>
      <w:r w:rsidRPr="006C5AE8">
        <w:rPr>
          <w:bCs/>
          <w:caps/>
          <w:sz w:val="24"/>
          <w:szCs w:val="24"/>
        </w:rPr>
        <w:t>Prípravok v tomto veľkospotrebiteľskom balení nesmie byť ponúkaný alebo predávaný širokej verejnosti!</w:t>
      </w:r>
    </w:p>
    <w:p w14:paraId="20DA0058" w14:textId="592D74E7" w:rsidR="00E23237" w:rsidRDefault="00E23237" w:rsidP="00B0692D">
      <w:pPr>
        <w:ind w:right="-1"/>
        <w:jc w:val="both"/>
        <w:rPr>
          <w:bCs/>
          <w:sz w:val="24"/>
          <w:szCs w:val="24"/>
        </w:rPr>
      </w:pPr>
    </w:p>
    <w:p w14:paraId="3FEAB6E2" w14:textId="033F326A" w:rsidR="00CF2B71" w:rsidRDefault="00CF2B71" w:rsidP="00B0692D">
      <w:pPr>
        <w:ind w:right="-1"/>
        <w:jc w:val="both"/>
        <w:rPr>
          <w:bCs/>
          <w:sz w:val="24"/>
          <w:szCs w:val="24"/>
        </w:rPr>
      </w:pPr>
    </w:p>
    <w:p w14:paraId="2A7DB233" w14:textId="3FDDAE9D" w:rsidR="00CF2B71" w:rsidRDefault="00CF2B71" w:rsidP="00B0692D">
      <w:pPr>
        <w:ind w:right="-1"/>
        <w:jc w:val="both"/>
        <w:rPr>
          <w:bCs/>
          <w:sz w:val="24"/>
          <w:szCs w:val="24"/>
        </w:rPr>
      </w:pPr>
    </w:p>
    <w:p w14:paraId="368090E1" w14:textId="192F0949" w:rsidR="00CF2B71" w:rsidRDefault="00CF2B71" w:rsidP="00B0692D">
      <w:pPr>
        <w:ind w:right="-1"/>
        <w:jc w:val="both"/>
        <w:rPr>
          <w:bCs/>
          <w:sz w:val="24"/>
          <w:szCs w:val="24"/>
        </w:rPr>
      </w:pPr>
    </w:p>
    <w:p w14:paraId="3C83F92E" w14:textId="626AB814" w:rsidR="00CF2B71" w:rsidRDefault="00CF2B71" w:rsidP="00B0692D">
      <w:pPr>
        <w:ind w:right="-1"/>
        <w:jc w:val="both"/>
        <w:rPr>
          <w:bCs/>
          <w:sz w:val="24"/>
          <w:szCs w:val="24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3686"/>
        <w:gridCol w:w="5954"/>
      </w:tblGrid>
      <w:tr w:rsidR="00E23237" w:rsidRPr="00D802B4" w14:paraId="1A3C35BA" w14:textId="77777777" w:rsidTr="004C4041">
        <w:tc>
          <w:tcPr>
            <w:tcW w:w="3686" w:type="dxa"/>
            <w:shd w:val="clear" w:color="auto" w:fill="auto"/>
          </w:tcPr>
          <w:p w14:paraId="664BFD35" w14:textId="77777777" w:rsidR="00E23237" w:rsidRPr="00E23237" w:rsidRDefault="00E23237" w:rsidP="004C4041">
            <w:pPr>
              <w:rPr>
                <w:b/>
                <w:bCs/>
                <w:sz w:val="24"/>
                <w:szCs w:val="24"/>
              </w:rPr>
            </w:pPr>
            <w:r w:rsidRPr="00E23237">
              <w:rPr>
                <w:b/>
                <w:bCs/>
                <w:sz w:val="24"/>
                <w:szCs w:val="24"/>
              </w:rPr>
              <w:lastRenderedPageBreak/>
              <w:t>Výrobca: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0C3DD5A0" w14:textId="77777777" w:rsidR="00E23237" w:rsidRDefault="00E23237" w:rsidP="004C4041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spellStart"/>
            <w:r w:rsidRPr="006C5AE8">
              <w:rPr>
                <w:sz w:val="24"/>
                <w:szCs w:val="24"/>
              </w:rPr>
              <w:t>Montanwerke</w:t>
            </w:r>
            <w:proofErr w:type="spellEnd"/>
            <w:r w:rsidRPr="006C5AE8">
              <w:rPr>
                <w:sz w:val="24"/>
                <w:szCs w:val="24"/>
              </w:rPr>
              <w:t xml:space="preserve"> </w:t>
            </w:r>
            <w:proofErr w:type="spellStart"/>
            <w:r w:rsidRPr="006C5AE8">
              <w:rPr>
                <w:sz w:val="24"/>
                <w:szCs w:val="24"/>
              </w:rPr>
              <w:t>Brixlegg</w:t>
            </w:r>
            <w:proofErr w:type="spellEnd"/>
            <w:r w:rsidRPr="006C5AE8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G</w:t>
            </w:r>
          </w:p>
          <w:p w14:paraId="3B39248E" w14:textId="77777777" w:rsidR="00E23237" w:rsidRPr="00E23237" w:rsidRDefault="00E23237" w:rsidP="004C4041">
            <w:pPr>
              <w:tabs>
                <w:tab w:val="left" w:pos="3969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6C5AE8">
              <w:rPr>
                <w:sz w:val="24"/>
                <w:szCs w:val="24"/>
              </w:rPr>
              <w:t>Werkstrasse</w:t>
            </w:r>
            <w:proofErr w:type="spellEnd"/>
            <w:r w:rsidRPr="006C5AE8">
              <w:rPr>
                <w:sz w:val="24"/>
                <w:szCs w:val="24"/>
              </w:rPr>
              <w:t xml:space="preserve"> 1-3, A-6230 </w:t>
            </w:r>
            <w:proofErr w:type="spellStart"/>
            <w:r w:rsidRPr="006C5AE8">
              <w:rPr>
                <w:sz w:val="24"/>
                <w:szCs w:val="24"/>
              </w:rPr>
              <w:t>Brixlegg</w:t>
            </w:r>
            <w:proofErr w:type="spellEnd"/>
            <w:r w:rsidRPr="006C5AE8">
              <w:rPr>
                <w:sz w:val="24"/>
                <w:szCs w:val="24"/>
              </w:rPr>
              <w:t>, Rakúsk</w:t>
            </w:r>
            <w:r>
              <w:rPr>
                <w:sz w:val="24"/>
                <w:szCs w:val="24"/>
              </w:rPr>
              <w:t>a republika</w:t>
            </w:r>
          </w:p>
        </w:tc>
      </w:tr>
      <w:tr w:rsidR="00E23237" w:rsidRPr="00D802B4" w14:paraId="18F8A005" w14:textId="77777777" w:rsidTr="004C4041">
        <w:tc>
          <w:tcPr>
            <w:tcW w:w="9640" w:type="dxa"/>
            <w:gridSpan w:val="2"/>
            <w:shd w:val="clear" w:color="auto" w:fill="auto"/>
          </w:tcPr>
          <w:p w14:paraId="12E5E7C1" w14:textId="77777777" w:rsidR="00E23237" w:rsidRPr="00E23237" w:rsidRDefault="00E23237" w:rsidP="004C4041">
            <w:pPr>
              <w:tabs>
                <w:tab w:val="left" w:pos="3969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E23237" w:rsidRPr="00D802B4" w14:paraId="3110D0A9" w14:textId="77777777" w:rsidTr="004C4041">
        <w:tc>
          <w:tcPr>
            <w:tcW w:w="3686" w:type="dxa"/>
            <w:shd w:val="clear" w:color="auto" w:fill="auto"/>
          </w:tcPr>
          <w:p w14:paraId="151FAF8B" w14:textId="183EC343" w:rsidR="00E23237" w:rsidRPr="00E23237" w:rsidRDefault="005D12E4" w:rsidP="00E232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Držiteľ autorizácie</w:t>
            </w:r>
            <w:r w:rsidR="00E23237" w:rsidRPr="00E23237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7B9E2529" w14:textId="77777777" w:rsidR="00E23237" w:rsidRDefault="00E23237" w:rsidP="00E23237">
            <w:pPr>
              <w:tabs>
                <w:tab w:val="left" w:pos="3969"/>
              </w:tabs>
              <w:rPr>
                <w:sz w:val="24"/>
                <w:szCs w:val="24"/>
              </w:rPr>
            </w:pPr>
            <w:proofErr w:type="spellStart"/>
            <w:r w:rsidRPr="006C5AE8">
              <w:rPr>
                <w:sz w:val="24"/>
                <w:szCs w:val="24"/>
              </w:rPr>
              <w:t>Montanwerke</w:t>
            </w:r>
            <w:proofErr w:type="spellEnd"/>
            <w:r w:rsidRPr="006C5AE8">
              <w:rPr>
                <w:sz w:val="24"/>
                <w:szCs w:val="24"/>
              </w:rPr>
              <w:t xml:space="preserve"> </w:t>
            </w:r>
            <w:proofErr w:type="spellStart"/>
            <w:r w:rsidRPr="006C5AE8">
              <w:rPr>
                <w:sz w:val="24"/>
                <w:szCs w:val="24"/>
              </w:rPr>
              <w:t>Brixlegg</w:t>
            </w:r>
            <w:proofErr w:type="spellEnd"/>
            <w:r w:rsidRPr="006C5AE8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G</w:t>
            </w:r>
          </w:p>
          <w:p w14:paraId="7D04828A" w14:textId="77777777" w:rsidR="00E23237" w:rsidRPr="00E23237" w:rsidRDefault="00E23237" w:rsidP="00E23237">
            <w:pPr>
              <w:tabs>
                <w:tab w:val="left" w:pos="3969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6C5AE8">
              <w:rPr>
                <w:sz w:val="24"/>
                <w:szCs w:val="24"/>
              </w:rPr>
              <w:t>Werkstrasse</w:t>
            </w:r>
            <w:proofErr w:type="spellEnd"/>
            <w:r w:rsidRPr="006C5AE8">
              <w:rPr>
                <w:sz w:val="24"/>
                <w:szCs w:val="24"/>
              </w:rPr>
              <w:t xml:space="preserve"> 1-3, A-6230 </w:t>
            </w:r>
            <w:proofErr w:type="spellStart"/>
            <w:r w:rsidRPr="006C5AE8">
              <w:rPr>
                <w:sz w:val="24"/>
                <w:szCs w:val="24"/>
              </w:rPr>
              <w:t>Brixlegg</w:t>
            </w:r>
            <w:proofErr w:type="spellEnd"/>
            <w:r w:rsidRPr="006C5AE8">
              <w:rPr>
                <w:sz w:val="24"/>
                <w:szCs w:val="24"/>
              </w:rPr>
              <w:t>, Rakúsk</w:t>
            </w:r>
            <w:r>
              <w:rPr>
                <w:sz w:val="24"/>
                <w:szCs w:val="24"/>
              </w:rPr>
              <w:t>a republika</w:t>
            </w:r>
          </w:p>
        </w:tc>
      </w:tr>
      <w:tr w:rsidR="00E23237" w:rsidRPr="00D802B4" w14:paraId="63FA5F3F" w14:textId="77777777" w:rsidTr="004C4041">
        <w:tc>
          <w:tcPr>
            <w:tcW w:w="3686" w:type="dxa"/>
            <w:shd w:val="clear" w:color="auto" w:fill="auto"/>
          </w:tcPr>
          <w:p w14:paraId="6D21A5DA" w14:textId="77777777" w:rsidR="00E23237" w:rsidRPr="00E23237" w:rsidRDefault="00E23237" w:rsidP="004C404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3EE4A0D2" w14:textId="77777777" w:rsidR="00E23237" w:rsidRPr="00E23237" w:rsidRDefault="00E23237" w:rsidP="004C4041">
            <w:pPr>
              <w:tabs>
                <w:tab w:val="left" w:pos="3969"/>
              </w:tabs>
              <w:rPr>
                <w:bCs/>
                <w:sz w:val="24"/>
                <w:szCs w:val="24"/>
              </w:rPr>
            </w:pPr>
          </w:p>
        </w:tc>
      </w:tr>
      <w:tr w:rsidR="00E23237" w:rsidRPr="00D802B4" w14:paraId="78DAA92A" w14:textId="77777777" w:rsidTr="004C4041">
        <w:tc>
          <w:tcPr>
            <w:tcW w:w="3686" w:type="dxa"/>
            <w:shd w:val="clear" w:color="auto" w:fill="auto"/>
          </w:tcPr>
          <w:p w14:paraId="5ABAD68B" w14:textId="77777777" w:rsidR="00E23237" w:rsidRPr="00E23237" w:rsidRDefault="00E23237" w:rsidP="004C4041">
            <w:pPr>
              <w:rPr>
                <w:b/>
                <w:bCs/>
                <w:sz w:val="24"/>
                <w:szCs w:val="24"/>
              </w:rPr>
            </w:pPr>
            <w:r w:rsidRPr="00E23237">
              <w:rPr>
                <w:b/>
                <w:bCs/>
                <w:sz w:val="24"/>
                <w:szCs w:val="24"/>
              </w:rPr>
              <w:t>Poverený zástupca: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4CC5807E" w14:textId="67CBD863" w:rsidR="00E23237" w:rsidRDefault="00E23237" w:rsidP="00E2323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ASRA</w:t>
            </w:r>
            <w:r w:rsidR="00FD272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spol. s </w:t>
            </w:r>
            <w:proofErr w:type="spellStart"/>
            <w:r>
              <w:rPr>
                <w:color w:val="000000"/>
                <w:sz w:val="24"/>
                <w:szCs w:val="24"/>
              </w:rPr>
              <w:t>r.o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4FDF2E20" w14:textId="77777777" w:rsidR="00E23237" w:rsidRPr="006C5AE8" w:rsidRDefault="00E23237" w:rsidP="00E23237">
            <w:pPr>
              <w:jc w:val="both"/>
              <w:rPr>
                <w:color w:val="000000"/>
                <w:sz w:val="24"/>
                <w:szCs w:val="24"/>
              </w:rPr>
            </w:pPr>
            <w:r w:rsidRPr="006C5AE8">
              <w:rPr>
                <w:color w:val="000000"/>
                <w:sz w:val="24"/>
                <w:szCs w:val="24"/>
              </w:rPr>
              <w:t xml:space="preserve">900 28 Ivanka pri Dunaji, Nádražná 28, </w:t>
            </w:r>
            <w:r>
              <w:rPr>
                <w:color w:val="000000"/>
                <w:sz w:val="24"/>
                <w:szCs w:val="24"/>
              </w:rPr>
              <w:t>Slovenská republika</w:t>
            </w:r>
          </w:p>
          <w:p w14:paraId="3FF95EFC" w14:textId="1EB81FE1" w:rsidR="00E23237" w:rsidRPr="006C5AE8" w:rsidRDefault="00E23237" w:rsidP="00E2323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5AE8">
              <w:rPr>
                <w:color w:val="000000"/>
                <w:sz w:val="24"/>
                <w:szCs w:val="24"/>
              </w:rPr>
              <w:t>Tel.</w:t>
            </w:r>
            <w:r w:rsidR="00CF2B71">
              <w:rPr>
                <w:color w:val="000000"/>
                <w:sz w:val="24"/>
                <w:szCs w:val="24"/>
              </w:rPr>
              <w:t>č</w:t>
            </w:r>
            <w:proofErr w:type="spellEnd"/>
            <w:r w:rsidR="00CF2B71">
              <w:rPr>
                <w:color w:val="000000"/>
                <w:sz w:val="24"/>
                <w:szCs w:val="24"/>
              </w:rPr>
              <w:t>.</w:t>
            </w:r>
            <w:r w:rsidRPr="006C5AE8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+421-</w:t>
            </w:r>
            <w:r w:rsidRPr="006C5AE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5AE8">
              <w:rPr>
                <w:color w:val="000000"/>
                <w:sz w:val="24"/>
                <w:szCs w:val="24"/>
              </w:rPr>
              <w:t xml:space="preserve">4425 5264, </w:t>
            </w:r>
            <w:hyperlink r:id="rId10" w:history="1">
              <w:r w:rsidRPr="006C5AE8">
                <w:rPr>
                  <w:rStyle w:val="Hypertextovprepojenie"/>
                  <w:sz w:val="24"/>
                  <w:szCs w:val="24"/>
                </w:rPr>
                <w:t>www.asra.sk</w:t>
              </w:r>
            </w:hyperlink>
            <w:r w:rsidRPr="006C5AE8">
              <w:rPr>
                <w:color w:val="000000"/>
                <w:sz w:val="24"/>
                <w:szCs w:val="24"/>
              </w:rPr>
              <w:t xml:space="preserve"> </w:t>
            </w:r>
          </w:p>
          <w:p w14:paraId="5CBDCFD3" w14:textId="77777777" w:rsidR="00E23237" w:rsidRPr="00E23237" w:rsidRDefault="00E23237" w:rsidP="004C4041">
            <w:pPr>
              <w:tabs>
                <w:tab w:val="left" w:pos="3969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E23237" w:rsidRPr="00D802B4" w14:paraId="656937E3" w14:textId="77777777" w:rsidTr="004C4041">
        <w:tc>
          <w:tcPr>
            <w:tcW w:w="3686" w:type="dxa"/>
            <w:shd w:val="clear" w:color="auto" w:fill="auto"/>
          </w:tcPr>
          <w:p w14:paraId="7798B674" w14:textId="77777777" w:rsidR="00E23237" w:rsidRPr="00E23237" w:rsidRDefault="00E23237" w:rsidP="004C4041">
            <w:pPr>
              <w:tabs>
                <w:tab w:val="left" w:pos="3969"/>
              </w:tabs>
              <w:rPr>
                <w:b/>
                <w:bCs/>
                <w:sz w:val="24"/>
                <w:szCs w:val="24"/>
              </w:rPr>
            </w:pPr>
            <w:r w:rsidRPr="00E23237">
              <w:rPr>
                <w:b/>
                <w:bCs/>
                <w:sz w:val="24"/>
                <w:szCs w:val="24"/>
              </w:rPr>
              <w:t>Číslo autorizácie ÚKSÚP</w:t>
            </w:r>
            <w:r>
              <w:rPr>
                <w:sz w:val="24"/>
                <w:szCs w:val="24"/>
              </w:rPr>
              <w:t>:</w:t>
            </w:r>
          </w:p>
          <w:p w14:paraId="389C6645" w14:textId="77777777" w:rsidR="00E23237" w:rsidRPr="00E23237" w:rsidRDefault="00E23237" w:rsidP="004C4041">
            <w:pPr>
              <w:tabs>
                <w:tab w:val="left" w:pos="3969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630C2EB8" w14:textId="77777777" w:rsidR="00E23237" w:rsidRPr="00E23237" w:rsidRDefault="00E23237" w:rsidP="004C4041">
            <w:pPr>
              <w:tabs>
                <w:tab w:val="left" w:pos="3969"/>
              </w:tabs>
              <w:rPr>
                <w:b/>
                <w:bCs/>
                <w:sz w:val="24"/>
                <w:szCs w:val="24"/>
              </w:rPr>
            </w:pPr>
            <w:r w:rsidRPr="00CF2B71">
              <w:rPr>
                <w:b/>
                <w:bCs/>
                <w:color w:val="000000"/>
                <w:sz w:val="28"/>
                <w:szCs w:val="24"/>
              </w:rPr>
              <w:t>08-02-1003</w:t>
            </w:r>
          </w:p>
        </w:tc>
      </w:tr>
      <w:tr w:rsidR="00E23237" w:rsidRPr="00D802B4" w14:paraId="63ED4A66" w14:textId="77777777" w:rsidTr="004C4041">
        <w:tc>
          <w:tcPr>
            <w:tcW w:w="3686" w:type="dxa"/>
            <w:shd w:val="clear" w:color="auto" w:fill="auto"/>
          </w:tcPr>
          <w:p w14:paraId="1091E0A6" w14:textId="77777777" w:rsidR="00E23237" w:rsidRPr="00D802B4" w:rsidRDefault="00E23237" w:rsidP="004C4041">
            <w:pPr>
              <w:tabs>
                <w:tab w:val="left" w:pos="3969"/>
              </w:tabs>
              <w:rPr>
                <w:b/>
                <w:bCs/>
                <w:sz w:val="24"/>
                <w:szCs w:val="24"/>
              </w:rPr>
            </w:pPr>
            <w:r w:rsidRPr="00D802B4">
              <w:rPr>
                <w:b/>
                <w:bCs/>
                <w:sz w:val="24"/>
                <w:szCs w:val="24"/>
              </w:rPr>
              <w:t>Dátum výroby</w:t>
            </w:r>
            <w:r w:rsidRPr="00D802B4">
              <w:rPr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47640A55" w14:textId="77777777" w:rsidR="00E23237" w:rsidRPr="00D802B4" w:rsidRDefault="00E23237" w:rsidP="004C4041">
            <w:pPr>
              <w:tabs>
                <w:tab w:val="left" w:pos="3969"/>
              </w:tabs>
              <w:rPr>
                <w:b/>
                <w:bCs/>
                <w:sz w:val="24"/>
                <w:szCs w:val="24"/>
              </w:rPr>
            </w:pPr>
            <w:r w:rsidRPr="00D802B4">
              <w:rPr>
                <w:sz w:val="24"/>
                <w:szCs w:val="24"/>
              </w:rPr>
              <w:t>uvedené na obale</w:t>
            </w:r>
          </w:p>
        </w:tc>
      </w:tr>
      <w:tr w:rsidR="00E23237" w:rsidRPr="00D802B4" w14:paraId="0821070D" w14:textId="77777777" w:rsidTr="004C4041">
        <w:tc>
          <w:tcPr>
            <w:tcW w:w="3686" w:type="dxa"/>
            <w:shd w:val="clear" w:color="auto" w:fill="auto"/>
          </w:tcPr>
          <w:p w14:paraId="214C1DFF" w14:textId="77777777" w:rsidR="00E23237" w:rsidRPr="00D802B4" w:rsidRDefault="00E23237" w:rsidP="004C4041">
            <w:pPr>
              <w:tabs>
                <w:tab w:val="left" w:pos="3969"/>
              </w:tabs>
              <w:rPr>
                <w:b/>
                <w:bCs/>
                <w:sz w:val="24"/>
                <w:szCs w:val="24"/>
              </w:rPr>
            </w:pPr>
            <w:r w:rsidRPr="00D802B4">
              <w:rPr>
                <w:b/>
                <w:bCs/>
                <w:sz w:val="24"/>
                <w:szCs w:val="24"/>
              </w:rPr>
              <w:t xml:space="preserve">Číslo </w:t>
            </w:r>
            <w:r w:rsidRPr="00851449">
              <w:rPr>
                <w:b/>
                <w:bCs/>
                <w:sz w:val="24"/>
                <w:szCs w:val="24"/>
              </w:rPr>
              <w:t xml:space="preserve">výrobnej </w:t>
            </w:r>
            <w:r w:rsidRPr="00D802B4">
              <w:rPr>
                <w:b/>
                <w:bCs/>
                <w:sz w:val="24"/>
                <w:szCs w:val="24"/>
              </w:rPr>
              <w:t>šarže</w:t>
            </w:r>
            <w:r w:rsidRPr="00D802B4">
              <w:rPr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00278B8B" w14:textId="77777777" w:rsidR="00E23237" w:rsidRPr="00D802B4" w:rsidRDefault="00E23237" w:rsidP="004C4041">
            <w:pPr>
              <w:tabs>
                <w:tab w:val="left" w:pos="3969"/>
              </w:tabs>
              <w:rPr>
                <w:b/>
                <w:bCs/>
                <w:sz w:val="24"/>
                <w:szCs w:val="24"/>
              </w:rPr>
            </w:pPr>
            <w:r w:rsidRPr="00D802B4">
              <w:rPr>
                <w:sz w:val="24"/>
                <w:szCs w:val="24"/>
              </w:rPr>
              <w:t>uvedené na obale</w:t>
            </w:r>
          </w:p>
        </w:tc>
      </w:tr>
      <w:tr w:rsidR="004516AF" w:rsidRPr="00D802B4" w14:paraId="4D2596A4" w14:textId="77777777" w:rsidTr="004C4041">
        <w:tc>
          <w:tcPr>
            <w:tcW w:w="3686" w:type="dxa"/>
            <w:shd w:val="clear" w:color="auto" w:fill="auto"/>
          </w:tcPr>
          <w:p w14:paraId="630B37C3" w14:textId="77777777" w:rsidR="004516AF" w:rsidRPr="00D802B4" w:rsidRDefault="004516AF" w:rsidP="004C4041">
            <w:pPr>
              <w:tabs>
                <w:tab w:val="left" w:pos="3969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406711E0" w14:textId="77777777" w:rsidR="004516AF" w:rsidRPr="00D802B4" w:rsidRDefault="004516AF" w:rsidP="004C4041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</w:tr>
      <w:tr w:rsidR="00E23237" w:rsidRPr="00D802B4" w14:paraId="3FB79169" w14:textId="77777777" w:rsidTr="004C4041">
        <w:tc>
          <w:tcPr>
            <w:tcW w:w="3686" w:type="dxa"/>
            <w:shd w:val="clear" w:color="auto" w:fill="auto"/>
          </w:tcPr>
          <w:p w14:paraId="76182FFF" w14:textId="77777777" w:rsidR="00E23237" w:rsidRDefault="00E23237" w:rsidP="004C4041">
            <w:pPr>
              <w:tabs>
                <w:tab w:val="left" w:pos="3969"/>
              </w:tabs>
              <w:rPr>
                <w:b/>
                <w:bCs/>
                <w:sz w:val="24"/>
                <w:szCs w:val="24"/>
              </w:rPr>
            </w:pPr>
            <w:r w:rsidRPr="005B27AB">
              <w:rPr>
                <w:b/>
                <w:bCs/>
                <w:sz w:val="24"/>
                <w:szCs w:val="24"/>
              </w:rPr>
              <w:t>Balenie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  <w:p w14:paraId="18F653A6" w14:textId="77777777" w:rsidR="00E23237" w:rsidRPr="00D802B4" w:rsidRDefault="00E23237" w:rsidP="004C4041">
            <w:pPr>
              <w:tabs>
                <w:tab w:val="left" w:pos="3969"/>
              </w:tabs>
              <w:rPr>
                <w:b/>
                <w:b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3CF3C1F9" w14:textId="77777777" w:rsidR="00E23237" w:rsidRPr="006C5AE8" w:rsidRDefault="00E23237" w:rsidP="00E23237">
            <w:pPr>
              <w:ind w:right="-648"/>
              <w:jc w:val="both"/>
              <w:rPr>
                <w:sz w:val="24"/>
                <w:szCs w:val="24"/>
              </w:rPr>
            </w:pPr>
            <w:r w:rsidRPr="006C5AE8">
              <w:rPr>
                <w:sz w:val="24"/>
                <w:szCs w:val="24"/>
              </w:rPr>
              <w:t>1 l HDPE fľaša,</w:t>
            </w:r>
          </w:p>
          <w:p w14:paraId="6E654FE9" w14:textId="77777777" w:rsidR="00E23237" w:rsidRPr="00D802B4" w:rsidRDefault="00E23237" w:rsidP="00E23237">
            <w:pPr>
              <w:ind w:right="-648"/>
              <w:jc w:val="both"/>
              <w:rPr>
                <w:sz w:val="24"/>
                <w:szCs w:val="24"/>
              </w:rPr>
            </w:pPr>
            <w:r w:rsidRPr="006C5AE8">
              <w:rPr>
                <w:sz w:val="24"/>
                <w:szCs w:val="24"/>
              </w:rPr>
              <w:t xml:space="preserve">5 l, 10 l a 20 l HDPE kanister </w:t>
            </w:r>
          </w:p>
        </w:tc>
      </w:tr>
    </w:tbl>
    <w:p w14:paraId="0052350D" w14:textId="77777777" w:rsidR="00EB230C" w:rsidRPr="006C5AE8" w:rsidRDefault="00EB230C" w:rsidP="00EE49D6">
      <w:pPr>
        <w:jc w:val="both"/>
        <w:rPr>
          <w:color w:val="000000"/>
          <w:sz w:val="24"/>
          <w:szCs w:val="24"/>
        </w:rPr>
      </w:pPr>
    </w:p>
    <w:p w14:paraId="6CC9E745" w14:textId="77777777" w:rsidR="00985A16" w:rsidRPr="006C5AE8" w:rsidRDefault="00985A16" w:rsidP="00985A16">
      <w:pPr>
        <w:pStyle w:val="Nadpis1"/>
        <w:jc w:val="both"/>
        <w:rPr>
          <w:rFonts w:ascii="Times New Roman" w:hAnsi="Times New Roman" w:cs="Times New Roman"/>
          <w:sz w:val="24"/>
          <w:szCs w:val="24"/>
        </w:rPr>
      </w:pPr>
      <w:r w:rsidRPr="006C5AE8">
        <w:rPr>
          <w:rFonts w:ascii="Times New Roman" w:hAnsi="Times New Roman" w:cs="Times New Roman"/>
          <w:sz w:val="24"/>
          <w:szCs w:val="24"/>
        </w:rPr>
        <w:t>FLOWBRIX</w:t>
      </w:r>
      <w:r w:rsidR="00E23237" w:rsidRPr="00E23237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E23237">
        <w:rPr>
          <w:rFonts w:ascii="Times New Roman" w:hAnsi="Times New Roman" w:cs="Times New Roman"/>
          <w:sz w:val="24"/>
          <w:szCs w:val="24"/>
        </w:rPr>
        <w:t xml:space="preserve"> je registrovanou </w:t>
      </w:r>
      <w:r w:rsidRPr="006C5AE8">
        <w:rPr>
          <w:rFonts w:ascii="Times New Roman" w:hAnsi="Times New Roman" w:cs="Times New Roman"/>
          <w:sz w:val="24"/>
          <w:szCs w:val="24"/>
        </w:rPr>
        <w:t xml:space="preserve">ochrannou značkou firmy </w:t>
      </w:r>
      <w:proofErr w:type="spellStart"/>
      <w:r w:rsidRPr="006C5AE8">
        <w:rPr>
          <w:rFonts w:ascii="Times New Roman" w:hAnsi="Times New Roman" w:cs="Times New Roman"/>
          <w:sz w:val="24"/>
          <w:szCs w:val="24"/>
        </w:rPr>
        <w:t>Montanwerke</w:t>
      </w:r>
      <w:proofErr w:type="spellEnd"/>
      <w:r w:rsidRPr="006C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E8">
        <w:rPr>
          <w:rFonts w:ascii="Times New Roman" w:hAnsi="Times New Roman" w:cs="Times New Roman"/>
          <w:sz w:val="24"/>
          <w:szCs w:val="24"/>
        </w:rPr>
        <w:t>Brixlegg</w:t>
      </w:r>
      <w:proofErr w:type="spellEnd"/>
      <w:r w:rsidRPr="006C5AE8">
        <w:rPr>
          <w:rFonts w:ascii="Times New Roman" w:hAnsi="Times New Roman" w:cs="Times New Roman"/>
          <w:sz w:val="24"/>
          <w:szCs w:val="24"/>
        </w:rPr>
        <w:t xml:space="preserve"> AG.</w:t>
      </w:r>
    </w:p>
    <w:p w14:paraId="18BA4113" w14:textId="77777777" w:rsidR="00D23106" w:rsidRPr="006C5AE8" w:rsidRDefault="00D23106" w:rsidP="00EE49D6">
      <w:pPr>
        <w:jc w:val="both"/>
        <w:rPr>
          <w:b/>
          <w:bCs/>
          <w:color w:val="000000"/>
          <w:sz w:val="24"/>
          <w:szCs w:val="24"/>
        </w:rPr>
      </w:pPr>
    </w:p>
    <w:p w14:paraId="3C5F3345" w14:textId="77777777" w:rsidR="002617A2" w:rsidRPr="006C5AE8" w:rsidRDefault="00F65D32" w:rsidP="00EE49D6">
      <w:pPr>
        <w:jc w:val="both"/>
        <w:rPr>
          <w:color w:val="000000"/>
          <w:sz w:val="24"/>
          <w:szCs w:val="24"/>
        </w:rPr>
      </w:pPr>
      <w:r w:rsidRPr="006C5AE8">
        <w:rPr>
          <w:b/>
          <w:bCs/>
          <w:caps/>
          <w:color w:val="000000"/>
          <w:sz w:val="24"/>
          <w:szCs w:val="24"/>
        </w:rPr>
        <w:t>Pôsobenie prípravku</w:t>
      </w:r>
    </w:p>
    <w:p w14:paraId="2B3EAED7" w14:textId="77777777" w:rsidR="00762B62" w:rsidRPr="006C5AE8" w:rsidRDefault="0045744E" w:rsidP="00EE49D6">
      <w:pPr>
        <w:jc w:val="both"/>
        <w:rPr>
          <w:sz w:val="24"/>
          <w:szCs w:val="24"/>
        </w:rPr>
      </w:pPr>
      <w:r w:rsidRPr="006C5AE8">
        <w:rPr>
          <w:sz w:val="24"/>
          <w:szCs w:val="24"/>
        </w:rPr>
        <w:t>FLOWBRIX</w:t>
      </w:r>
      <w:r w:rsidR="00E23237" w:rsidRPr="00E23237">
        <w:rPr>
          <w:sz w:val="24"/>
          <w:szCs w:val="24"/>
          <w:vertAlign w:val="superscript"/>
        </w:rPr>
        <w:t>®</w:t>
      </w:r>
      <w:r w:rsidR="00094FCB" w:rsidRPr="006C5AE8">
        <w:rPr>
          <w:sz w:val="24"/>
          <w:szCs w:val="24"/>
        </w:rPr>
        <w:t xml:space="preserve"> </w:t>
      </w:r>
      <w:r w:rsidR="00573DB2" w:rsidRPr="006C5AE8">
        <w:rPr>
          <w:sz w:val="24"/>
          <w:szCs w:val="24"/>
        </w:rPr>
        <w:t xml:space="preserve">je </w:t>
      </w:r>
      <w:r w:rsidR="005E737A" w:rsidRPr="006C5AE8">
        <w:rPr>
          <w:sz w:val="24"/>
          <w:szCs w:val="24"/>
        </w:rPr>
        <w:t>listový</w:t>
      </w:r>
      <w:r w:rsidR="00133310" w:rsidRPr="006C5AE8">
        <w:rPr>
          <w:sz w:val="24"/>
          <w:szCs w:val="24"/>
        </w:rPr>
        <w:t xml:space="preserve"> kontaktný</w:t>
      </w:r>
      <w:r w:rsidR="006468EF" w:rsidRPr="006C5AE8">
        <w:rPr>
          <w:sz w:val="24"/>
          <w:szCs w:val="24"/>
        </w:rPr>
        <w:t xml:space="preserve"> </w:t>
      </w:r>
      <w:proofErr w:type="spellStart"/>
      <w:r w:rsidR="006468EF" w:rsidRPr="006C5AE8">
        <w:rPr>
          <w:sz w:val="24"/>
          <w:szCs w:val="24"/>
        </w:rPr>
        <w:t>fungicíd</w:t>
      </w:r>
      <w:proofErr w:type="spellEnd"/>
      <w:r w:rsidR="006468EF" w:rsidRPr="006C5AE8">
        <w:rPr>
          <w:sz w:val="24"/>
          <w:szCs w:val="24"/>
        </w:rPr>
        <w:t xml:space="preserve"> s ochranným účinkom proti</w:t>
      </w:r>
      <w:r w:rsidR="009B5749" w:rsidRPr="006C5AE8">
        <w:rPr>
          <w:sz w:val="24"/>
          <w:szCs w:val="24"/>
        </w:rPr>
        <w:t xml:space="preserve"> hubovým chor</w:t>
      </w:r>
      <w:r w:rsidR="002054BB" w:rsidRPr="006C5AE8">
        <w:rPr>
          <w:sz w:val="24"/>
          <w:szCs w:val="24"/>
        </w:rPr>
        <w:t>obám</w:t>
      </w:r>
      <w:r w:rsidR="009B5749" w:rsidRPr="006C5AE8">
        <w:rPr>
          <w:sz w:val="24"/>
          <w:szCs w:val="24"/>
        </w:rPr>
        <w:t>.</w:t>
      </w:r>
      <w:r w:rsidR="00545C5C" w:rsidRPr="006C5AE8">
        <w:rPr>
          <w:sz w:val="24"/>
          <w:szCs w:val="24"/>
        </w:rPr>
        <w:t xml:space="preserve"> </w:t>
      </w:r>
      <w:r w:rsidR="00201F4F" w:rsidRPr="006C5AE8">
        <w:rPr>
          <w:sz w:val="24"/>
          <w:szCs w:val="24"/>
        </w:rPr>
        <w:t xml:space="preserve">Prípravok </w:t>
      </w:r>
      <w:r w:rsidR="00E264E1" w:rsidRPr="006C5AE8">
        <w:rPr>
          <w:sz w:val="24"/>
          <w:szCs w:val="24"/>
        </w:rPr>
        <w:t>tvorí na povrchoch ošetrovaných rastlín jemný film</w:t>
      </w:r>
      <w:r w:rsidRPr="006C5AE8">
        <w:rPr>
          <w:sz w:val="24"/>
          <w:szCs w:val="24"/>
        </w:rPr>
        <w:t xml:space="preserve">, ktorý je </w:t>
      </w:r>
      <w:r w:rsidR="00A92238" w:rsidRPr="006C5AE8">
        <w:rPr>
          <w:sz w:val="24"/>
          <w:szCs w:val="24"/>
        </w:rPr>
        <w:t>abso</w:t>
      </w:r>
      <w:r w:rsidR="00677AC6" w:rsidRPr="006C5AE8">
        <w:rPr>
          <w:sz w:val="24"/>
          <w:szCs w:val="24"/>
        </w:rPr>
        <w:t>r</w:t>
      </w:r>
      <w:r w:rsidR="00A92238" w:rsidRPr="006C5AE8">
        <w:rPr>
          <w:sz w:val="24"/>
          <w:szCs w:val="24"/>
        </w:rPr>
        <w:t xml:space="preserve">bovaný </w:t>
      </w:r>
      <w:proofErr w:type="spellStart"/>
      <w:r w:rsidR="0002185E" w:rsidRPr="006C5AE8">
        <w:rPr>
          <w:sz w:val="24"/>
          <w:szCs w:val="24"/>
        </w:rPr>
        <w:t>hýfami</w:t>
      </w:r>
      <w:proofErr w:type="spellEnd"/>
      <w:r w:rsidR="0002185E" w:rsidRPr="006C5AE8">
        <w:rPr>
          <w:sz w:val="24"/>
          <w:szCs w:val="24"/>
        </w:rPr>
        <w:t xml:space="preserve"> a spórami </w:t>
      </w:r>
      <w:r w:rsidRPr="006C5AE8">
        <w:rPr>
          <w:sz w:val="24"/>
          <w:szCs w:val="24"/>
        </w:rPr>
        <w:t>h</w:t>
      </w:r>
      <w:r w:rsidR="0002185E" w:rsidRPr="006C5AE8">
        <w:rPr>
          <w:sz w:val="24"/>
          <w:szCs w:val="24"/>
        </w:rPr>
        <w:t xml:space="preserve">uby. </w:t>
      </w:r>
      <w:r w:rsidR="00677AC6" w:rsidRPr="006C5AE8">
        <w:rPr>
          <w:sz w:val="24"/>
          <w:szCs w:val="24"/>
        </w:rPr>
        <w:t xml:space="preserve">Účinná látka </w:t>
      </w:r>
      <w:proofErr w:type="spellStart"/>
      <w:r w:rsidR="00F40314" w:rsidRPr="006C5AE8">
        <w:rPr>
          <w:sz w:val="24"/>
          <w:szCs w:val="24"/>
        </w:rPr>
        <w:t>oxychlorid</w:t>
      </w:r>
      <w:proofErr w:type="spellEnd"/>
      <w:r w:rsidR="00F40314" w:rsidRPr="006C5AE8">
        <w:rPr>
          <w:sz w:val="24"/>
          <w:szCs w:val="24"/>
        </w:rPr>
        <w:t xml:space="preserve"> </w:t>
      </w:r>
      <w:r w:rsidR="00677AC6" w:rsidRPr="006C5AE8">
        <w:rPr>
          <w:sz w:val="24"/>
          <w:szCs w:val="24"/>
        </w:rPr>
        <w:t>Cu</w:t>
      </w:r>
      <w:r w:rsidR="00E23237">
        <w:rPr>
          <w:sz w:val="24"/>
          <w:szCs w:val="24"/>
        </w:rPr>
        <w:t xml:space="preserve"> </w:t>
      </w:r>
      <w:r w:rsidR="00D0382F" w:rsidRPr="006C5AE8">
        <w:rPr>
          <w:sz w:val="24"/>
          <w:szCs w:val="24"/>
        </w:rPr>
        <w:t>n</w:t>
      </w:r>
      <w:r w:rsidR="00D34C60" w:rsidRPr="006C5AE8">
        <w:rPr>
          <w:sz w:val="24"/>
          <w:szCs w:val="24"/>
        </w:rPr>
        <w:t>a</w:t>
      </w:r>
      <w:r w:rsidR="00E23237">
        <w:rPr>
          <w:sz w:val="24"/>
          <w:szCs w:val="24"/>
        </w:rPr>
        <w:t xml:space="preserve">rúša </w:t>
      </w:r>
      <w:r w:rsidR="00D34C60" w:rsidRPr="006C5AE8">
        <w:rPr>
          <w:sz w:val="24"/>
          <w:szCs w:val="24"/>
        </w:rPr>
        <w:t>enzymatický systém</w:t>
      </w:r>
      <w:r w:rsidR="00677AC6" w:rsidRPr="006C5AE8">
        <w:rPr>
          <w:sz w:val="24"/>
          <w:szCs w:val="24"/>
        </w:rPr>
        <w:t xml:space="preserve"> </w:t>
      </w:r>
      <w:proofErr w:type="spellStart"/>
      <w:r w:rsidR="00677AC6" w:rsidRPr="006C5AE8">
        <w:rPr>
          <w:sz w:val="24"/>
          <w:szCs w:val="24"/>
        </w:rPr>
        <w:t>mycélia</w:t>
      </w:r>
      <w:proofErr w:type="spellEnd"/>
      <w:r w:rsidR="00677AC6" w:rsidRPr="006C5AE8">
        <w:rPr>
          <w:sz w:val="24"/>
          <w:szCs w:val="24"/>
        </w:rPr>
        <w:t xml:space="preserve"> a klíčenie spór</w:t>
      </w:r>
      <w:r w:rsidR="00D34C60" w:rsidRPr="006C5AE8">
        <w:rPr>
          <w:sz w:val="24"/>
          <w:szCs w:val="24"/>
        </w:rPr>
        <w:t xml:space="preserve"> </w:t>
      </w:r>
      <w:r w:rsidR="00677AC6" w:rsidRPr="006C5AE8">
        <w:rPr>
          <w:sz w:val="24"/>
          <w:szCs w:val="24"/>
        </w:rPr>
        <w:t>prostredníctvom inhibície dýchania</w:t>
      </w:r>
      <w:r w:rsidR="00D34C60" w:rsidRPr="006C5AE8">
        <w:rPr>
          <w:sz w:val="24"/>
          <w:szCs w:val="24"/>
        </w:rPr>
        <w:t>.</w:t>
      </w:r>
      <w:r w:rsidR="00F40314" w:rsidRPr="006C5AE8">
        <w:rPr>
          <w:sz w:val="24"/>
          <w:szCs w:val="24"/>
        </w:rPr>
        <w:t xml:space="preserve"> </w:t>
      </w:r>
      <w:r w:rsidR="00677AC6" w:rsidRPr="006C5AE8">
        <w:rPr>
          <w:sz w:val="24"/>
          <w:szCs w:val="24"/>
        </w:rPr>
        <w:t>Mnohostranná aktivita účinnej látky znižuje riziko vyselektovania rezistentných kmeňov</w:t>
      </w:r>
      <w:r w:rsidR="00EB230C" w:rsidRPr="006C5AE8">
        <w:rPr>
          <w:sz w:val="24"/>
          <w:szCs w:val="24"/>
        </w:rPr>
        <w:t xml:space="preserve"> cieľových patogénov. </w:t>
      </w:r>
    </w:p>
    <w:p w14:paraId="00CD6B80" w14:textId="3E74B1E5" w:rsidR="006A165C" w:rsidRPr="00CF2B71" w:rsidRDefault="00EB230C" w:rsidP="00CF2B71">
      <w:pPr>
        <w:spacing w:before="40" w:after="120"/>
        <w:jc w:val="both"/>
        <w:rPr>
          <w:sz w:val="24"/>
          <w:szCs w:val="24"/>
          <w:lang w:val="en-US"/>
        </w:rPr>
      </w:pPr>
      <w:r w:rsidRPr="006C5AE8">
        <w:rPr>
          <w:sz w:val="24"/>
          <w:szCs w:val="24"/>
        </w:rPr>
        <w:t>FLOWBRIX</w:t>
      </w:r>
      <w:r w:rsidR="00E23237" w:rsidRPr="00E23237">
        <w:rPr>
          <w:sz w:val="24"/>
          <w:szCs w:val="24"/>
          <w:vertAlign w:val="superscript"/>
        </w:rPr>
        <w:t>®</w:t>
      </w:r>
      <w:r w:rsidRPr="006C5AE8">
        <w:rPr>
          <w:sz w:val="24"/>
          <w:szCs w:val="24"/>
        </w:rPr>
        <w:t xml:space="preserve"> odporúčame aplikovať preventívne pred nástupom infekcie.</w:t>
      </w:r>
    </w:p>
    <w:p w14:paraId="5D4FA59A" w14:textId="2C1C9180" w:rsidR="006A165C" w:rsidRPr="00D54528" w:rsidRDefault="00E23237" w:rsidP="00E23237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NÁVOD NA POUŽITIE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338"/>
        <w:gridCol w:w="3119"/>
        <w:gridCol w:w="1310"/>
        <w:gridCol w:w="1383"/>
        <w:gridCol w:w="1484"/>
      </w:tblGrid>
      <w:tr w:rsidR="00E23237" w:rsidRPr="00D54528" w14:paraId="2A6D6E3D" w14:textId="77777777" w:rsidTr="009364F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6D1FBD" w14:textId="77777777" w:rsidR="00E23237" w:rsidRPr="00D54528" w:rsidRDefault="00E23237" w:rsidP="004C404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54528">
              <w:rPr>
                <w:b/>
                <w:bCs/>
                <w:color w:val="000000"/>
                <w:sz w:val="24"/>
                <w:szCs w:val="24"/>
              </w:rPr>
              <w:t>Plodina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678FCC" w14:textId="77777777" w:rsidR="00E23237" w:rsidRPr="00D54528" w:rsidRDefault="00E23237" w:rsidP="004C404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Účel použitia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043B6F" w14:textId="77777777" w:rsidR="00E23237" w:rsidRPr="00D54528" w:rsidRDefault="00E23237" w:rsidP="004C404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</w:t>
            </w:r>
            <w:r w:rsidRPr="00D54528">
              <w:rPr>
                <w:b/>
                <w:bCs/>
                <w:color w:val="000000"/>
                <w:sz w:val="24"/>
                <w:szCs w:val="24"/>
              </w:rPr>
              <w:t>ávka/ha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68DF40" w14:textId="77777777" w:rsidR="00E23237" w:rsidRPr="00D54528" w:rsidRDefault="00E23237" w:rsidP="006A2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528">
              <w:rPr>
                <w:b/>
                <w:bCs/>
                <w:color w:val="000000"/>
                <w:sz w:val="24"/>
                <w:szCs w:val="24"/>
              </w:rPr>
              <w:t>Ochranná doba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49707E" w14:textId="77777777" w:rsidR="00E23237" w:rsidRPr="00D54528" w:rsidRDefault="00E23237" w:rsidP="004C404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54528">
              <w:rPr>
                <w:b/>
                <w:bCs/>
                <w:color w:val="000000"/>
                <w:sz w:val="24"/>
                <w:szCs w:val="24"/>
              </w:rPr>
              <w:t>Poznámka</w:t>
            </w:r>
          </w:p>
        </w:tc>
      </w:tr>
      <w:tr w:rsidR="006A165C" w:rsidRPr="00270994" w14:paraId="3143BEA7" w14:textId="77777777" w:rsidTr="006A165C">
        <w:trPr>
          <w:trHeight w:val="4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FD85" w14:textId="77777777" w:rsidR="006A165C" w:rsidRPr="00B9048C" w:rsidRDefault="006A165C" w:rsidP="006A165C">
            <w:pPr>
              <w:rPr>
                <w:b/>
                <w:sz w:val="24"/>
                <w:szCs w:val="24"/>
              </w:rPr>
            </w:pPr>
            <w:r w:rsidRPr="00B9048C">
              <w:rPr>
                <w:b/>
                <w:sz w:val="24"/>
                <w:szCs w:val="24"/>
              </w:rPr>
              <w:t>vinič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CB62" w14:textId="77777777" w:rsidR="006A165C" w:rsidRPr="00B9048C" w:rsidRDefault="006A165C" w:rsidP="006A165C">
            <w:pPr>
              <w:rPr>
                <w:sz w:val="24"/>
                <w:szCs w:val="24"/>
              </w:rPr>
            </w:pPr>
            <w:r w:rsidRPr="00B9048C">
              <w:rPr>
                <w:sz w:val="24"/>
                <w:szCs w:val="24"/>
              </w:rPr>
              <w:t>peronospóra viniča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D2E3" w14:textId="554E9067" w:rsidR="006A165C" w:rsidRPr="00B9048C" w:rsidRDefault="006A165C" w:rsidP="00CF3C6F">
            <w:pPr>
              <w:jc w:val="both"/>
              <w:rPr>
                <w:sz w:val="24"/>
                <w:szCs w:val="24"/>
              </w:rPr>
            </w:pPr>
            <w:r w:rsidRPr="00B9048C">
              <w:rPr>
                <w:sz w:val="24"/>
                <w:szCs w:val="24"/>
              </w:rPr>
              <w:t>1,25-</w:t>
            </w:r>
            <w:r w:rsidR="002F134F">
              <w:rPr>
                <w:sz w:val="24"/>
                <w:szCs w:val="24"/>
              </w:rPr>
              <w:t>3</w:t>
            </w:r>
            <w:r w:rsidRPr="00B9048C">
              <w:rPr>
                <w:sz w:val="24"/>
                <w:szCs w:val="24"/>
              </w:rPr>
              <w:t xml:space="preserve"> l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023F" w14:textId="153B25C2" w:rsidR="006A165C" w:rsidRPr="00B9048C" w:rsidRDefault="006A165C" w:rsidP="006A165C">
            <w:pPr>
              <w:pStyle w:val="Nadpis4"/>
              <w:jc w:val="center"/>
              <w:rPr>
                <w:rFonts w:ascii="Times New Roman" w:hAnsi="Times New Roman"/>
                <w:color w:val="auto"/>
              </w:rPr>
            </w:pPr>
            <w:r w:rsidRPr="00B9048C">
              <w:rPr>
                <w:rFonts w:ascii="Times New Roman" w:hAnsi="Times New Roman"/>
                <w:color w:val="auto"/>
              </w:rPr>
              <w:t>21</w:t>
            </w:r>
            <w:r w:rsidR="004516AF">
              <w:rPr>
                <w:rFonts w:ascii="Times New Roman" w:hAnsi="Times New Roman"/>
                <w:color w:val="auto"/>
              </w:rPr>
              <w:t xml:space="preserve"> dní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CBB4" w14:textId="52B85C2E" w:rsidR="006A165C" w:rsidRPr="00B9048C" w:rsidRDefault="006A165C" w:rsidP="00005A7F">
            <w:pPr>
              <w:pStyle w:val="Nadpis4"/>
              <w:jc w:val="left"/>
              <w:rPr>
                <w:rFonts w:ascii="Times New Roman" w:hAnsi="Times New Roman"/>
                <w:color w:val="auto"/>
              </w:rPr>
            </w:pPr>
            <w:r w:rsidRPr="00B9048C">
              <w:rPr>
                <w:rFonts w:ascii="Times New Roman" w:hAnsi="Times New Roman"/>
                <w:color w:val="auto"/>
              </w:rPr>
              <w:t>preventívne</w:t>
            </w:r>
          </w:p>
        </w:tc>
      </w:tr>
      <w:tr w:rsidR="006A165C" w:rsidRPr="00270994" w14:paraId="17EF57A5" w14:textId="45374C55" w:rsidTr="006A165C">
        <w:trPr>
          <w:trHeight w:val="4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F95E" w14:textId="2AA9132D" w:rsidR="006A165C" w:rsidRPr="00B9048C" w:rsidRDefault="006A165C" w:rsidP="006A165C">
            <w:pPr>
              <w:rPr>
                <w:b/>
                <w:sz w:val="24"/>
                <w:szCs w:val="24"/>
              </w:rPr>
            </w:pPr>
            <w:r w:rsidRPr="00B9048C">
              <w:rPr>
                <w:b/>
                <w:sz w:val="24"/>
                <w:szCs w:val="24"/>
              </w:rPr>
              <w:t>zemiak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7B17" w14:textId="5347E2A2" w:rsidR="006A165C" w:rsidRPr="00B9048C" w:rsidRDefault="006A165C" w:rsidP="006A165C">
            <w:pPr>
              <w:rPr>
                <w:sz w:val="24"/>
                <w:szCs w:val="24"/>
              </w:rPr>
            </w:pPr>
            <w:r w:rsidRPr="00B9048C">
              <w:rPr>
                <w:sz w:val="24"/>
                <w:szCs w:val="24"/>
              </w:rPr>
              <w:t>pleseň zemiaková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0994" w14:textId="0F2F98A5" w:rsidR="006A165C" w:rsidRPr="00B9048C" w:rsidRDefault="006A165C" w:rsidP="006A165C">
            <w:pPr>
              <w:jc w:val="both"/>
              <w:rPr>
                <w:sz w:val="24"/>
                <w:szCs w:val="24"/>
              </w:rPr>
            </w:pPr>
            <w:r w:rsidRPr="00B9048C">
              <w:rPr>
                <w:sz w:val="24"/>
                <w:szCs w:val="24"/>
              </w:rPr>
              <w:t>2,5 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6614" w14:textId="5380D99F" w:rsidR="006A165C" w:rsidRPr="00B9048C" w:rsidRDefault="00FF43FD" w:rsidP="006A165C">
            <w:pPr>
              <w:pStyle w:val="Nadpis4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  <w:r w:rsidR="004516AF">
              <w:rPr>
                <w:rFonts w:ascii="Times New Roman" w:hAnsi="Times New Roman"/>
                <w:color w:val="auto"/>
              </w:rPr>
              <w:t xml:space="preserve"> dní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C465" w14:textId="04739789" w:rsidR="006A165C" w:rsidRPr="00B9048C" w:rsidRDefault="006A165C" w:rsidP="00CF3C6F">
            <w:pPr>
              <w:pStyle w:val="Nadpis4"/>
              <w:jc w:val="left"/>
              <w:rPr>
                <w:rFonts w:ascii="Times New Roman" w:hAnsi="Times New Roman"/>
                <w:color w:val="auto"/>
              </w:rPr>
            </w:pPr>
            <w:r w:rsidRPr="00B9048C">
              <w:rPr>
                <w:rFonts w:ascii="Times New Roman" w:hAnsi="Times New Roman"/>
                <w:color w:val="auto"/>
              </w:rPr>
              <w:t xml:space="preserve">preventívne </w:t>
            </w:r>
          </w:p>
        </w:tc>
      </w:tr>
      <w:tr w:rsidR="006A165C" w:rsidRPr="00270994" w14:paraId="5ACD5FC3" w14:textId="29467154" w:rsidTr="006A165C">
        <w:trPr>
          <w:trHeight w:val="4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F378" w14:textId="67DACE1C" w:rsidR="006A165C" w:rsidRPr="00B9048C" w:rsidRDefault="006A165C" w:rsidP="006A165C">
            <w:pPr>
              <w:rPr>
                <w:b/>
                <w:sz w:val="24"/>
                <w:szCs w:val="24"/>
              </w:rPr>
            </w:pPr>
            <w:r w:rsidRPr="00B9048C">
              <w:rPr>
                <w:b/>
                <w:sz w:val="24"/>
                <w:szCs w:val="24"/>
              </w:rPr>
              <w:t>slivka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3948" w14:textId="3F611955" w:rsidR="006A165C" w:rsidRPr="00B9048C" w:rsidRDefault="006A165C" w:rsidP="006A165C">
            <w:pPr>
              <w:rPr>
                <w:sz w:val="24"/>
                <w:szCs w:val="24"/>
              </w:rPr>
            </w:pPr>
            <w:r w:rsidRPr="00B9048C">
              <w:rPr>
                <w:sz w:val="24"/>
                <w:szCs w:val="24"/>
              </w:rPr>
              <w:t>deformácia plodov</w:t>
            </w:r>
          </w:p>
          <w:p w14:paraId="05714E36" w14:textId="0B1597A4" w:rsidR="006A165C" w:rsidRPr="00B9048C" w:rsidRDefault="006A165C" w:rsidP="006A165C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12EE" w14:textId="4E305DA5" w:rsidR="006A165C" w:rsidRPr="00B9048C" w:rsidRDefault="006A165C" w:rsidP="006A165C">
            <w:pPr>
              <w:jc w:val="both"/>
              <w:rPr>
                <w:sz w:val="24"/>
                <w:szCs w:val="24"/>
              </w:rPr>
            </w:pPr>
            <w:r w:rsidRPr="00B9048C">
              <w:rPr>
                <w:sz w:val="24"/>
                <w:szCs w:val="24"/>
              </w:rPr>
              <w:t xml:space="preserve">2-4 l </w:t>
            </w:r>
          </w:p>
          <w:p w14:paraId="242D1FD6" w14:textId="07BB1108" w:rsidR="006A165C" w:rsidRPr="00B9048C" w:rsidRDefault="006A165C" w:rsidP="006A165C">
            <w:pPr>
              <w:jc w:val="both"/>
              <w:rPr>
                <w:sz w:val="24"/>
                <w:szCs w:val="24"/>
              </w:rPr>
            </w:pPr>
            <w:r w:rsidRPr="00B9048C">
              <w:rPr>
                <w:sz w:val="24"/>
                <w:szCs w:val="24"/>
              </w:rPr>
              <w:t>(0,4%)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1361" w14:textId="595523D2" w:rsidR="006A165C" w:rsidRPr="00B9048C" w:rsidRDefault="006A165C" w:rsidP="006A165C">
            <w:pPr>
              <w:pStyle w:val="Nadpis4"/>
              <w:jc w:val="center"/>
              <w:rPr>
                <w:rFonts w:ascii="Times New Roman" w:hAnsi="Times New Roman"/>
                <w:color w:val="auto"/>
              </w:rPr>
            </w:pPr>
            <w:r w:rsidRPr="00B9048C">
              <w:rPr>
                <w:rFonts w:ascii="Times New Roman" w:hAnsi="Times New Roman"/>
                <w:color w:val="auto"/>
              </w:rPr>
              <w:t>AT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5C02" w14:textId="32087074" w:rsidR="006A165C" w:rsidRPr="00B9048C" w:rsidRDefault="006A165C" w:rsidP="006A165C">
            <w:pPr>
              <w:pStyle w:val="Nadpis4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:rsidR="006A165C" w:rsidRPr="00270994" w14:paraId="7A5EAEAF" w14:textId="5EE049A2" w:rsidTr="006A165C">
        <w:trPr>
          <w:trHeight w:val="4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AE09" w14:textId="6E0533A8" w:rsidR="006A165C" w:rsidRPr="00B9048C" w:rsidRDefault="006A165C" w:rsidP="006A165C">
            <w:pPr>
              <w:rPr>
                <w:b/>
                <w:sz w:val="24"/>
                <w:szCs w:val="24"/>
              </w:rPr>
            </w:pPr>
            <w:r w:rsidRPr="00B9048C">
              <w:rPr>
                <w:b/>
                <w:sz w:val="24"/>
                <w:szCs w:val="24"/>
              </w:rPr>
              <w:t>marhuľa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3BDB" w14:textId="1574F29D" w:rsidR="006A165C" w:rsidRPr="00B9048C" w:rsidRDefault="00D66CED" w:rsidP="006A16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nekrózy</w:t>
            </w:r>
            <w:proofErr w:type="spellEnd"/>
            <w:r>
              <w:rPr>
                <w:sz w:val="24"/>
                <w:szCs w:val="24"/>
              </w:rPr>
              <w:t xml:space="preserve"> kôry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F6F6" w14:textId="2563DA44" w:rsidR="006A165C" w:rsidRPr="00B9048C" w:rsidRDefault="006A165C" w:rsidP="006A165C">
            <w:pPr>
              <w:jc w:val="both"/>
              <w:rPr>
                <w:sz w:val="24"/>
                <w:szCs w:val="24"/>
              </w:rPr>
            </w:pPr>
            <w:r w:rsidRPr="00B9048C">
              <w:rPr>
                <w:sz w:val="24"/>
                <w:szCs w:val="24"/>
              </w:rPr>
              <w:t>1,75-3,5 l</w:t>
            </w:r>
          </w:p>
          <w:p w14:paraId="1CC6E9E6" w14:textId="164EDDF1" w:rsidR="006A165C" w:rsidRPr="00B9048C" w:rsidRDefault="006A165C" w:rsidP="006A165C">
            <w:pPr>
              <w:jc w:val="both"/>
              <w:rPr>
                <w:sz w:val="24"/>
                <w:szCs w:val="24"/>
              </w:rPr>
            </w:pPr>
            <w:r w:rsidRPr="00B9048C">
              <w:rPr>
                <w:sz w:val="24"/>
                <w:szCs w:val="24"/>
              </w:rPr>
              <w:t>(0,35%)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EEAE" w14:textId="598896DD" w:rsidR="006A165C" w:rsidRPr="00B9048C" w:rsidRDefault="006A165C" w:rsidP="006A165C">
            <w:pPr>
              <w:pStyle w:val="Nadpis4"/>
              <w:jc w:val="center"/>
              <w:rPr>
                <w:rFonts w:ascii="Times New Roman" w:hAnsi="Times New Roman"/>
                <w:color w:val="auto"/>
              </w:rPr>
            </w:pPr>
            <w:r w:rsidRPr="00B9048C">
              <w:rPr>
                <w:rFonts w:ascii="Times New Roman" w:hAnsi="Times New Roman"/>
                <w:color w:val="auto"/>
              </w:rPr>
              <w:t>AT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F86F" w14:textId="32CA9DAA" w:rsidR="006A165C" w:rsidRPr="00B9048C" w:rsidRDefault="006A165C" w:rsidP="00CF3C6F">
            <w:pPr>
              <w:pStyle w:val="Nadpis4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:rsidR="006A165C" w:rsidRPr="00270994" w14:paraId="3FBD9459" w14:textId="52C6C4C8" w:rsidTr="006A165C">
        <w:trPr>
          <w:trHeight w:val="4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733A" w14:textId="09A0D817" w:rsidR="006A165C" w:rsidRPr="00B9048C" w:rsidRDefault="006A165C" w:rsidP="006A165C">
            <w:pPr>
              <w:rPr>
                <w:b/>
                <w:sz w:val="24"/>
                <w:szCs w:val="24"/>
              </w:rPr>
            </w:pPr>
            <w:proofErr w:type="spellStart"/>
            <w:r w:rsidRPr="00B9048C">
              <w:rPr>
                <w:b/>
                <w:sz w:val="24"/>
                <w:szCs w:val="24"/>
              </w:rPr>
              <w:t>jadroviny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3118" w14:textId="69AEDA4B" w:rsidR="006A165C" w:rsidRPr="00B9048C" w:rsidRDefault="00D66CED" w:rsidP="006A16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nekrózy</w:t>
            </w:r>
            <w:proofErr w:type="spellEnd"/>
            <w:r>
              <w:rPr>
                <w:sz w:val="24"/>
                <w:szCs w:val="24"/>
              </w:rPr>
              <w:t xml:space="preserve"> kôry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21F6" w14:textId="3F46E03F" w:rsidR="006A165C" w:rsidRPr="00B9048C" w:rsidRDefault="006A165C" w:rsidP="006A165C">
            <w:pPr>
              <w:jc w:val="both"/>
              <w:rPr>
                <w:sz w:val="24"/>
                <w:szCs w:val="24"/>
              </w:rPr>
            </w:pPr>
            <w:r w:rsidRPr="00B9048C">
              <w:rPr>
                <w:sz w:val="24"/>
                <w:szCs w:val="24"/>
              </w:rPr>
              <w:t>1,75-3,5 l</w:t>
            </w:r>
          </w:p>
          <w:p w14:paraId="3B64B5B5" w14:textId="5FF65943" w:rsidR="006A165C" w:rsidRPr="00B9048C" w:rsidRDefault="006A165C" w:rsidP="006A165C">
            <w:pPr>
              <w:jc w:val="both"/>
              <w:rPr>
                <w:sz w:val="24"/>
                <w:szCs w:val="24"/>
              </w:rPr>
            </w:pPr>
            <w:r w:rsidRPr="00B9048C">
              <w:rPr>
                <w:sz w:val="24"/>
                <w:szCs w:val="24"/>
              </w:rPr>
              <w:t>(0,35%)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A457" w14:textId="7AA4C59E" w:rsidR="006A165C" w:rsidRPr="00B9048C" w:rsidRDefault="006A165C" w:rsidP="006A165C">
            <w:pPr>
              <w:pStyle w:val="Nadpis4"/>
              <w:jc w:val="center"/>
              <w:rPr>
                <w:rFonts w:ascii="Times New Roman" w:hAnsi="Times New Roman"/>
                <w:color w:val="auto"/>
              </w:rPr>
            </w:pPr>
            <w:r w:rsidRPr="00B9048C">
              <w:rPr>
                <w:rFonts w:ascii="Times New Roman" w:hAnsi="Times New Roman"/>
                <w:color w:val="auto"/>
              </w:rPr>
              <w:t>AT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6CB0" w14:textId="42DF2454" w:rsidR="006A165C" w:rsidRPr="00B9048C" w:rsidRDefault="006A165C" w:rsidP="006A165C">
            <w:pPr>
              <w:pStyle w:val="Nadpis4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:rsidR="006A165C" w:rsidRPr="00270994" w14:paraId="6A639883" w14:textId="07AA7C03" w:rsidTr="006A165C">
        <w:trPr>
          <w:trHeight w:val="4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F046" w14:textId="55F5DAC3" w:rsidR="006A165C" w:rsidRPr="00B9048C" w:rsidRDefault="006A165C" w:rsidP="00FF6C1F">
            <w:pPr>
              <w:rPr>
                <w:b/>
                <w:sz w:val="24"/>
                <w:szCs w:val="24"/>
              </w:rPr>
            </w:pPr>
            <w:proofErr w:type="spellStart"/>
            <w:r w:rsidRPr="00B9048C">
              <w:rPr>
                <w:b/>
                <w:sz w:val="24"/>
                <w:szCs w:val="24"/>
              </w:rPr>
              <w:t>tekvicovitá</w:t>
            </w:r>
            <w:proofErr w:type="spellEnd"/>
            <w:r w:rsidRPr="00B9048C">
              <w:rPr>
                <w:b/>
                <w:sz w:val="24"/>
                <w:szCs w:val="24"/>
              </w:rPr>
              <w:t xml:space="preserve"> </w:t>
            </w:r>
            <w:r w:rsidR="00FF6C1F" w:rsidRPr="00B9048C">
              <w:rPr>
                <w:b/>
                <w:sz w:val="24"/>
                <w:szCs w:val="24"/>
              </w:rPr>
              <w:t>zelenina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9462" w14:textId="0DECF8B9" w:rsidR="006A165C" w:rsidRPr="00B9048C" w:rsidRDefault="006A165C" w:rsidP="006A165C">
            <w:pPr>
              <w:rPr>
                <w:sz w:val="24"/>
                <w:szCs w:val="24"/>
              </w:rPr>
            </w:pPr>
            <w:r w:rsidRPr="00B9048C">
              <w:rPr>
                <w:sz w:val="24"/>
                <w:szCs w:val="24"/>
              </w:rPr>
              <w:t>pleseň uhorková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3D1C" w14:textId="641612F5" w:rsidR="006A165C" w:rsidRPr="00B9048C" w:rsidRDefault="006A165C" w:rsidP="006A165C">
            <w:pPr>
              <w:jc w:val="both"/>
              <w:rPr>
                <w:sz w:val="24"/>
                <w:szCs w:val="24"/>
              </w:rPr>
            </w:pPr>
            <w:r w:rsidRPr="00B9048C">
              <w:rPr>
                <w:sz w:val="24"/>
                <w:szCs w:val="24"/>
              </w:rPr>
              <w:t>2,6 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15EB" w14:textId="0E92ED31" w:rsidR="006A165C" w:rsidRPr="00B9048C" w:rsidRDefault="006A165C" w:rsidP="006A165C">
            <w:pPr>
              <w:pStyle w:val="Nadpis4"/>
              <w:jc w:val="center"/>
              <w:rPr>
                <w:rFonts w:ascii="Times New Roman" w:hAnsi="Times New Roman"/>
                <w:color w:val="auto"/>
              </w:rPr>
            </w:pPr>
            <w:r w:rsidRPr="00B9048C">
              <w:rPr>
                <w:rFonts w:ascii="Times New Roman" w:hAnsi="Times New Roman"/>
                <w:color w:val="auto"/>
              </w:rPr>
              <w:t>3</w:t>
            </w:r>
            <w:r w:rsidR="004516AF">
              <w:rPr>
                <w:rFonts w:ascii="Times New Roman" w:hAnsi="Times New Roman"/>
                <w:color w:val="auto"/>
              </w:rPr>
              <w:t xml:space="preserve"> dni</w:t>
            </w:r>
          </w:p>
          <w:p w14:paraId="001D9B70" w14:textId="55A0F69F" w:rsidR="006A165C" w:rsidRPr="00B9048C" w:rsidRDefault="006A165C" w:rsidP="006A165C">
            <w:pPr>
              <w:pStyle w:val="Nadpis4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BA9C" w14:textId="5BA03A2E" w:rsidR="006A165C" w:rsidRPr="00B9048C" w:rsidRDefault="00FF6C1F" w:rsidP="006A165C">
            <w:pPr>
              <w:pStyle w:val="Nadpis4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s jedlou šupkou, </w:t>
            </w:r>
            <w:r w:rsidR="006A165C" w:rsidRPr="00B9048C">
              <w:rPr>
                <w:rFonts w:ascii="Times New Roman" w:hAnsi="Times New Roman"/>
                <w:color w:val="auto"/>
              </w:rPr>
              <w:t>preventívne</w:t>
            </w:r>
          </w:p>
        </w:tc>
      </w:tr>
    </w:tbl>
    <w:p w14:paraId="5FAA7636" w14:textId="68E3D1E3" w:rsidR="00CF2B71" w:rsidRDefault="00CF2B71" w:rsidP="00EE49D6">
      <w:pPr>
        <w:jc w:val="both"/>
        <w:rPr>
          <w:b/>
          <w:bCs/>
          <w:color w:val="000000"/>
          <w:sz w:val="24"/>
          <w:szCs w:val="24"/>
        </w:rPr>
      </w:pPr>
    </w:p>
    <w:p w14:paraId="6D2C69A8" w14:textId="6D1DDC3C" w:rsidR="006A165C" w:rsidRPr="00CF2B71" w:rsidRDefault="00CF2B71" w:rsidP="00CF2B71">
      <w:pPr>
        <w:jc w:val="both"/>
        <w:rPr>
          <w:b/>
          <w:bCs/>
          <w:sz w:val="24"/>
          <w:szCs w:val="22"/>
        </w:rPr>
      </w:pPr>
      <w:r>
        <w:rPr>
          <w:b/>
          <w:bCs/>
          <w:color w:val="000000"/>
          <w:sz w:val="24"/>
          <w:szCs w:val="24"/>
        </w:rPr>
        <w:br w:type="column"/>
      </w:r>
      <w:r w:rsidR="006A165C" w:rsidRPr="00CF2B71">
        <w:rPr>
          <w:b/>
          <w:bCs/>
          <w:sz w:val="24"/>
          <w:szCs w:val="22"/>
        </w:rPr>
        <w:lastRenderedPageBreak/>
        <w:t>POKYNY NA APLIKÁCIU</w:t>
      </w:r>
    </w:p>
    <w:p w14:paraId="57AC8244" w14:textId="77777777" w:rsidR="00B57792" w:rsidRPr="00B57792" w:rsidRDefault="00B57792" w:rsidP="00B57792">
      <w:pPr>
        <w:tabs>
          <w:tab w:val="left" w:pos="3402"/>
        </w:tabs>
        <w:jc w:val="both"/>
        <w:outlineLvl w:val="0"/>
        <w:rPr>
          <w:b/>
          <w:sz w:val="24"/>
          <w:szCs w:val="24"/>
        </w:rPr>
      </w:pPr>
      <w:r w:rsidRPr="00B57792">
        <w:rPr>
          <w:b/>
          <w:sz w:val="24"/>
          <w:szCs w:val="24"/>
        </w:rPr>
        <w:t xml:space="preserve">Zemiak, </w:t>
      </w:r>
      <w:proofErr w:type="spellStart"/>
      <w:r w:rsidRPr="00B57792">
        <w:rPr>
          <w:b/>
          <w:sz w:val="24"/>
          <w:szCs w:val="24"/>
        </w:rPr>
        <w:t>tekvicovitá</w:t>
      </w:r>
      <w:proofErr w:type="spellEnd"/>
      <w:r w:rsidRPr="00B57792">
        <w:rPr>
          <w:b/>
          <w:sz w:val="24"/>
          <w:szCs w:val="24"/>
        </w:rPr>
        <w:t xml:space="preserve"> zelenina s jedlou šupkou:</w:t>
      </w:r>
    </w:p>
    <w:p w14:paraId="5FF09F59" w14:textId="77777777" w:rsidR="00B57792" w:rsidRDefault="00B57792" w:rsidP="00B57792">
      <w:pPr>
        <w:tabs>
          <w:tab w:val="left" w:pos="3402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Dávka vody: 300 – 600 l/ha.</w:t>
      </w:r>
    </w:p>
    <w:p w14:paraId="5CA12E43" w14:textId="77777777" w:rsidR="00B57792" w:rsidRDefault="00B57792" w:rsidP="00B57792">
      <w:pPr>
        <w:tabs>
          <w:tab w:val="left" w:pos="3402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Maximálny počet aplikácií za vegetačné obdobie: 4x.</w:t>
      </w:r>
    </w:p>
    <w:p w14:paraId="0DCE5398" w14:textId="77777777" w:rsidR="00B57792" w:rsidRDefault="00B57792" w:rsidP="00B57792">
      <w:pPr>
        <w:tabs>
          <w:tab w:val="left" w:pos="3402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Interval medzi aplikáciami: 7 – 14 dní.</w:t>
      </w:r>
    </w:p>
    <w:p w14:paraId="6C45C2CA" w14:textId="770F8766" w:rsidR="00841EE4" w:rsidRDefault="00B57792" w:rsidP="00841EE4">
      <w:pPr>
        <w:tabs>
          <w:tab w:val="left" w:pos="3402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Prípravok aplikujte </w:t>
      </w:r>
      <w:r w:rsidR="00FF6C1F">
        <w:rPr>
          <w:sz w:val="24"/>
          <w:szCs w:val="24"/>
        </w:rPr>
        <w:t xml:space="preserve">preventívne </w:t>
      </w:r>
      <w:r>
        <w:rPr>
          <w:sz w:val="24"/>
          <w:szCs w:val="24"/>
        </w:rPr>
        <w:t xml:space="preserve">od rastovej fázy 5 listov, do rastovej fázy kedy sú bobule v 1. </w:t>
      </w:r>
      <w:proofErr w:type="spellStart"/>
      <w:r>
        <w:rPr>
          <w:sz w:val="24"/>
          <w:szCs w:val="24"/>
        </w:rPr>
        <w:t>plodenstve</w:t>
      </w:r>
      <w:proofErr w:type="spellEnd"/>
      <w:r>
        <w:rPr>
          <w:sz w:val="24"/>
          <w:szCs w:val="24"/>
        </w:rPr>
        <w:t xml:space="preserve"> okrové alebo hnedasté (BBCH 15 – 85).</w:t>
      </w:r>
    </w:p>
    <w:p w14:paraId="0F3E60A1" w14:textId="77777777" w:rsidR="00CF2B71" w:rsidRDefault="00CF2B71" w:rsidP="00841EE4">
      <w:pPr>
        <w:tabs>
          <w:tab w:val="left" w:pos="3402"/>
        </w:tabs>
        <w:jc w:val="both"/>
        <w:outlineLvl w:val="0"/>
        <w:rPr>
          <w:b/>
          <w:sz w:val="24"/>
          <w:szCs w:val="24"/>
        </w:rPr>
      </w:pPr>
    </w:p>
    <w:p w14:paraId="64534C12" w14:textId="2E019F05" w:rsidR="00CA6D93" w:rsidRPr="00CA6D93" w:rsidRDefault="00CF2B71" w:rsidP="00841EE4">
      <w:pPr>
        <w:tabs>
          <w:tab w:val="left" w:pos="3402"/>
        </w:tabs>
        <w:jc w:val="both"/>
        <w:outlineLvl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</w:t>
      </w:r>
      <w:r w:rsidR="00CA6D93" w:rsidRPr="00CA6D93">
        <w:rPr>
          <w:b/>
          <w:sz w:val="24"/>
          <w:szCs w:val="24"/>
        </w:rPr>
        <w:t>adroviny</w:t>
      </w:r>
      <w:proofErr w:type="spellEnd"/>
      <w:r w:rsidR="00CA6D93" w:rsidRPr="00CA6D93">
        <w:rPr>
          <w:b/>
          <w:sz w:val="24"/>
          <w:szCs w:val="24"/>
        </w:rPr>
        <w:t>, marhuľa:</w:t>
      </w:r>
    </w:p>
    <w:p w14:paraId="741117AF" w14:textId="657FCE39" w:rsidR="00CA6D93" w:rsidRDefault="00CA6D93" w:rsidP="00CA6D93">
      <w:pPr>
        <w:tabs>
          <w:tab w:val="left" w:pos="3402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Dávka vody: 500 – 1000 l/ha.</w:t>
      </w:r>
    </w:p>
    <w:p w14:paraId="4EC68065" w14:textId="480CD5D8" w:rsidR="00CA6D93" w:rsidRDefault="00CA6D93" w:rsidP="00CA6D93">
      <w:pPr>
        <w:tabs>
          <w:tab w:val="left" w:pos="3402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Maximálny počet aplikácií za vegetačné obdobie: </w:t>
      </w:r>
      <w:r w:rsidR="00886389">
        <w:rPr>
          <w:sz w:val="24"/>
          <w:szCs w:val="24"/>
        </w:rPr>
        <w:t>3</w:t>
      </w:r>
      <w:r>
        <w:rPr>
          <w:sz w:val="24"/>
          <w:szCs w:val="24"/>
        </w:rPr>
        <w:t>x.</w:t>
      </w:r>
    </w:p>
    <w:p w14:paraId="30388B38" w14:textId="46211A02" w:rsidR="00CA6D93" w:rsidRDefault="00CA6D93" w:rsidP="00CA6D93">
      <w:pPr>
        <w:tabs>
          <w:tab w:val="left" w:pos="3402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Interval medzi aplikáciami: 10 – 14 dní.</w:t>
      </w:r>
    </w:p>
    <w:p w14:paraId="1BF5512F" w14:textId="3C72D9DC" w:rsidR="004516AF" w:rsidRPr="00CF2B71" w:rsidRDefault="00CA6D93" w:rsidP="00841EE4">
      <w:pPr>
        <w:tabs>
          <w:tab w:val="left" w:pos="3402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Prípravok aplikujte od rastovej</w:t>
      </w:r>
      <w:r w:rsidR="002A105E">
        <w:rPr>
          <w:sz w:val="24"/>
          <w:szCs w:val="24"/>
        </w:rPr>
        <w:t xml:space="preserve"> fázy</w:t>
      </w:r>
      <w:r>
        <w:rPr>
          <w:sz w:val="24"/>
          <w:szCs w:val="24"/>
        </w:rPr>
        <w:t xml:space="preserve"> pučania pupeňov, do rastovej fázy kedy je 50 % listov sfarbených alebo opadaných (BBCH 53 – 95).</w:t>
      </w:r>
    </w:p>
    <w:p w14:paraId="63376ECF" w14:textId="77777777" w:rsidR="00CF2B71" w:rsidRDefault="00CF2B71" w:rsidP="00841EE4">
      <w:pPr>
        <w:tabs>
          <w:tab w:val="left" w:pos="3402"/>
        </w:tabs>
        <w:jc w:val="both"/>
        <w:outlineLvl w:val="0"/>
        <w:rPr>
          <w:b/>
          <w:sz w:val="24"/>
          <w:szCs w:val="24"/>
        </w:rPr>
      </w:pPr>
    </w:p>
    <w:p w14:paraId="607221D6" w14:textId="680D59B5" w:rsidR="00694E1B" w:rsidRDefault="00694E1B" w:rsidP="00841EE4">
      <w:pPr>
        <w:tabs>
          <w:tab w:val="left" w:pos="3402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Slivka:</w:t>
      </w:r>
    </w:p>
    <w:p w14:paraId="7207E0C0" w14:textId="1513BEF4" w:rsidR="00694E1B" w:rsidRDefault="00694E1B" w:rsidP="00694E1B">
      <w:pPr>
        <w:tabs>
          <w:tab w:val="left" w:pos="3402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Dávka vody: 800 – 1000 l/ha.</w:t>
      </w:r>
    </w:p>
    <w:p w14:paraId="3346110C" w14:textId="2F748B26" w:rsidR="00694E1B" w:rsidRDefault="00694E1B" w:rsidP="00694E1B">
      <w:pPr>
        <w:tabs>
          <w:tab w:val="left" w:pos="3402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Maximálny počet aplikácií za vegetačné obdobie: </w:t>
      </w:r>
      <w:r w:rsidR="002D0AC7">
        <w:rPr>
          <w:sz w:val="24"/>
          <w:szCs w:val="24"/>
        </w:rPr>
        <w:t xml:space="preserve">2x. </w:t>
      </w:r>
    </w:p>
    <w:p w14:paraId="2208D766" w14:textId="40656189" w:rsidR="00694E1B" w:rsidRDefault="00694E1B" w:rsidP="00694E1B">
      <w:pPr>
        <w:tabs>
          <w:tab w:val="left" w:pos="3402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Interval medzi aplikáciami: </w:t>
      </w:r>
      <w:r w:rsidR="000D7523">
        <w:rPr>
          <w:sz w:val="24"/>
          <w:szCs w:val="24"/>
        </w:rPr>
        <w:t>10</w:t>
      </w:r>
      <w:r>
        <w:rPr>
          <w:sz w:val="24"/>
          <w:szCs w:val="24"/>
        </w:rPr>
        <w:t xml:space="preserve"> – 14 dní.</w:t>
      </w:r>
    </w:p>
    <w:p w14:paraId="483C15F5" w14:textId="49686E1B" w:rsidR="00694E1B" w:rsidRDefault="00694E1B" w:rsidP="00694E1B">
      <w:pPr>
        <w:tabs>
          <w:tab w:val="left" w:pos="3402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Prípravok aplikujte od rastovej</w:t>
      </w:r>
      <w:r w:rsidR="002A105E">
        <w:rPr>
          <w:sz w:val="24"/>
          <w:szCs w:val="24"/>
        </w:rPr>
        <w:t xml:space="preserve"> fázy</w:t>
      </w:r>
      <w:r>
        <w:rPr>
          <w:sz w:val="24"/>
          <w:szCs w:val="24"/>
        </w:rPr>
        <w:t xml:space="preserve"> pučania pupeňov, do rastovej fázy kedy je 50 % listov sfarbených alebo opadaných (BBCH 53 – 95).</w:t>
      </w:r>
    </w:p>
    <w:p w14:paraId="6CBBED4D" w14:textId="77777777" w:rsidR="00CF2B71" w:rsidRDefault="00CF2B71" w:rsidP="00841EE4">
      <w:pPr>
        <w:tabs>
          <w:tab w:val="left" w:pos="3402"/>
        </w:tabs>
        <w:jc w:val="both"/>
        <w:outlineLvl w:val="0"/>
        <w:rPr>
          <w:b/>
          <w:sz w:val="24"/>
          <w:szCs w:val="24"/>
        </w:rPr>
      </w:pPr>
    </w:p>
    <w:p w14:paraId="6A9A42E7" w14:textId="3C10D4AE" w:rsidR="00CA6D93" w:rsidRPr="00CA6D93" w:rsidRDefault="00CA6D93" w:rsidP="00841EE4">
      <w:pPr>
        <w:tabs>
          <w:tab w:val="left" w:pos="3402"/>
        </w:tabs>
        <w:jc w:val="both"/>
        <w:outlineLvl w:val="0"/>
        <w:rPr>
          <w:b/>
          <w:sz w:val="24"/>
          <w:szCs w:val="24"/>
        </w:rPr>
      </w:pPr>
      <w:r w:rsidRPr="00CA6D93">
        <w:rPr>
          <w:b/>
          <w:sz w:val="24"/>
          <w:szCs w:val="24"/>
        </w:rPr>
        <w:t>Vinič:</w:t>
      </w:r>
    </w:p>
    <w:p w14:paraId="78DFD743" w14:textId="0DD19BA0" w:rsidR="00CA6D93" w:rsidRDefault="00CA6D93" w:rsidP="00CA6D93">
      <w:pPr>
        <w:tabs>
          <w:tab w:val="left" w:pos="3402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Dávka vody: 400 – 1200 l/ha.</w:t>
      </w:r>
    </w:p>
    <w:p w14:paraId="3E5223D2" w14:textId="250AF5D1" w:rsidR="00CA6D93" w:rsidRDefault="00CA6D93" w:rsidP="00CA6D93">
      <w:pPr>
        <w:tabs>
          <w:tab w:val="left" w:pos="3402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Maximálny počet aplikácií za vegetačné obdobie: </w:t>
      </w:r>
      <w:r w:rsidR="00886389">
        <w:rPr>
          <w:sz w:val="24"/>
          <w:szCs w:val="24"/>
        </w:rPr>
        <w:t>3</w:t>
      </w:r>
      <w:r>
        <w:rPr>
          <w:sz w:val="24"/>
          <w:szCs w:val="24"/>
        </w:rPr>
        <w:t>x.</w:t>
      </w:r>
    </w:p>
    <w:p w14:paraId="7034FA24" w14:textId="77777777" w:rsidR="00CA6D93" w:rsidRDefault="00CA6D93" w:rsidP="00CA6D93">
      <w:pPr>
        <w:tabs>
          <w:tab w:val="left" w:pos="3402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Interval medzi aplikáciami: 7 – 14 dní.</w:t>
      </w:r>
    </w:p>
    <w:p w14:paraId="1F5AC4C2" w14:textId="77777777" w:rsidR="00CA6D93" w:rsidRPr="00427526" w:rsidRDefault="00CA6D93" w:rsidP="00CA6D93">
      <w:pPr>
        <w:jc w:val="both"/>
        <w:rPr>
          <w:sz w:val="24"/>
          <w:szCs w:val="24"/>
        </w:rPr>
      </w:pPr>
      <w:r w:rsidRPr="00427526">
        <w:rPr>
          <w:sz w:val="24"/>
          <w:szCs w:val="24"/>
        </w:rPr>
        <w:t xml:space="preserve">Ošetrovanie </w:t>
      </w:r>
      <w:r w:rsidRPr="00427526">
        <w:rPr>
          <w:b/>
          <w:sz w:val="24"/>
          <w:szCs w:val="24"/>
        </w:rPr>
        <w:t xml:space="preserve">viniča </w:t>
      </w:r>
      <w:r w:rsidRPr="00427526">
        <w:rPr>
          <w:sz w:val="24"/>
          <w:szCs w:val="24"/>
        </w:rPr>
        <w:t>proti peronospóre viniča (</w:t>
      </w:r>
      <w:proofErr w:type="spellStart"/>
      <w:r w:rsidRPr="00427526">
        <w:rPr>
          <w:i/>
          <w:iCs/>
          <w:sz w:val="24"/>
          <w:szCs w:val="24"/>
        </w:rPr>
        <w:t>Plasmopara</w:t>
      </w:r>
      <w:proofErr w:type="spellEnd"/>
      <w:r w:rsidRPr="00427526">
        <w:rPr>
          <w:i/>
          <w:iCs/>
          <w:sz w:val="24"/>
          <w:szCs w:val="24"/>
        </w:rPr>
        <w:t xml:space="preserve"> </w:t>
      </w:r>
      <w:proofErr w:type="spellStart"/>
      <w:r w:rsidRPr="00427526">
        <w:rPr>
          <w:i/>
          <w:iCs/>
          <w:sz w:val="24"/>
          <w:szCs w:val="24"/>
        </w:rPr>
        <w:t>viticola</w:t>
      </w:r>
      <w:proofErr w:type="spellEnd"/>
      <w:r w:rsidRPr="00427526">
        <w:rPr>
          <w:sz w:val="24"/>
          <w:szCs w:val="24"/>
        </w:rPr>
        <w:t xml:space="preserve">) je nutné začať pred kvitnutím </w:t>
      </w:r>
    </w:p>
    <w:p w14:paraId="783B1752" w14:textId="6905285F" w:rsidR="00CA6D93" w:rsidRDefault="00CA6D93" w:rsidP="00CA6D93">
      <w:pPr>
        <w:jc w:val="both"/>
        <w:rPr>
          <w:sz w:val="24"/>
          <w:szCs w:val="24"/>
        </w:rPr>
      </w:pPr>
      <w:r w:rsidRPr="00427526">
        <w:rPr>
          <w:sz w:val="24"/>
          <w:szCs w:val="24"/>
        </w:rPr>
        <w:t>pri dĺžke výhonov 20-25 cm. Vinič ošetrujte v 7 - 14 dňových intervaloch počas sezóny (BBCH 19-89), najlepšie na základe signalizácie.</w:t>
      </w:r>
      <w:r w:rsidR="00F16697">
        <w:rPr>
          <w:sz w:val="24"/>
          <w:szCs w:val="24"/>
        </w:rPr>
        <w:t xml:space="preserve"> Do začiatku kvitnutia (BBCH 61) aplikujte v dávke 1,25 – 1,5 l/ha, po začiatku kvitnutia aplikujte v dávke 2,5 – 3 l/ha. </w:t>
      </w:r>
      <w:r w:rsidRPr="00427526">
        <w:rPr>
          <w:sz w:val="24"/>
          <w:szCs w:val="24"/>
        </w:rPr>
        <w:t xml:space="preserve"> Odporúčaná dávka vody 1000 l/ha, pri</w:t>
      </w:r>
      <w:r w:rsidR="00CF2B71">
        <w:rPr>
          <w:sz w:val="24"/>
          <w:szCs w:val="24"/>
        </w:rPr>
        <w:t> </w:t>
      </w:r>
      <w:r w:rsidRPr="00427526">
        <w:rPr>
          <w:sz w:val="24"/>
          <w:szCs w:val="24"/>
        </w:rPr>
        <w:t>použití kvalitných postrekovačov (</w:t>
      </w:r>
      <w:proofErr w:type="spellStart"/>
      <w:r w:rsidRPr="00427526">
        <w:rPr>
          <w:sz w:val="24"/>
          <w:szCs w:val="24"/>
        </w:rPr>
        <w:t>rosičov</w:t>
      </w:r>
      <w:proofErr w:type="spellEnd"/>
      <w:r w:rsidRPr="00427526">
        <w:rPr>
          <w:sz w:val="24"/>
          <w:szCs w:val="24"/>
        </w:rPr>
        <w:t>) možné použiť zníženú dávku vody 400 - 600 l/ha. Dôležité je zachovať dávku prípravku na ha a rovnomernosť postreku na celom povrchu listov. Spodná hranica doporučeného rozmedzia dávkovania vo viniči je určená pre použitie pri nízkom infekčnom tlaku a pri kratšom intervale medzi ošetreniami.</w:t>
      </w:r>
    </w:p>
    <w:p w14:paraId="11185156" w14:textId="77777777" w:rsidR="00EB38E6" w:rsidRPr="00427526" w:rsidRDefault="00EB38E6" w:rsidP="00CA6D93">
      <w:pPr>
        <w:jc w:val="both"/>
        <w:rPr>
          <w:sz w:val="24"/>
          <w:szCs w:val="24"/>
        </w:rPr>
      </w:pPr>
    </w:p>
    <w:p w14:paraId="301CF9CE" w14:textId="77777777" w:rsidR="0024238E" w:rsidRPr="00CF2B71" w:rsidRDefault="0024238E" w:rsidP="0024238E">
      <w:pPr>
        <w:jc w:val="both"/>
        <w:rPr>
          <w:b/>
          <w:sz w:val="24"/>
          <w:szCs w:val="24"/>
        </w:rPr>
      </w:pPr>
      <w:r w:rsidRPr="00CF2B71">
        <w:rPr>
          <w:b/>
          <w:sz w:val="24"/>
          <w:szCs w:val="24"/>
        </w:rPr>
        <w:t xml:space="preserve">Menej významné použitie prípravku povolené podľa § 18 zákona 405/2011 </w:t>
      </w:r>
      <w:proofErr w:type="spellStart"/>
      <w:r w:rsidRPr="00CF2B71">
        <w:rPr>
          <w:b/>
          <w:sz w:val="24"/>
          <w:szCs w:val="24"/>
        </w:rPr>
        <w:t>Z.z</w:t>
      </w:r>
      <w:proofErr w:type="spellEnd"/>
      <w:r w:rsidRPr="00CF2B71">
        <w:rPr>
          <w:b/>
          <w:sz w:val="24"/>
          <w:szCs w:val="24"/>
        </w:rPr>
        <w:t xml:space="preserve">.  v platnom znení: 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127"/>
        <w:gridCol w:w="1310"/>
        <w:gridCol w:w="1383"/>
        <w:gridCol w:w="2512"/>
      </w:tblGrid>
      <w:tr w:rsidR="0024238E" w:rsidRPr="0024238E" w14:paraId="012DE73C" w14:textId="77777777" w:rsidTr="00762D6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A82E6C" w14:textId="77777777" w:rsidR="0024238E" w:rsidRPr="00CF2B71" w:rsidRDefault="0024238E" w:rsidP="00762D6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F2B71">
              <w:rPr>
                <w:b/>
                <w:bCs/>
                <w:color w:val="000000"/>
                <w:sz w:val="24"/>
                <w:szCs w:val="24"/>
              </w:rPr>
              <w:t>Plodina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09D639" w14:textId="77777777" w:rsidR="0024238E" w:rsidRPr="00CF2B71" w:rsidRDefault="0024238E" w:rsidP="00762D6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F2B71">
              <w:rPr>
                <w:b/>
                <w:bCs/>
                <w:color w:val="000000"/>
                <w:sz w:val="24"/>
                <w:szCs w:val="24"/>
              </w:rPr>
              <w:t>Účel použitia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6C459D" w14:textId="77777777" w:rsidR="0024238E" w:rsidRPr="00CF2B71" w:rsidRDefault="0024238E" w:rsidP="00762D6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F2B71">
              <w:rPr>
                <w:b/>
                <w:bCs/>
                <w:color w:val="000000"/>
                <w:sz w:val="24"/>
                <w:szCs w:val="24"/>
              </w:rPr>
              <w:t>dávka/ha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B76A03" w14:textId="77777777" w:rsidR="0024238E" w:rsidRPr="00CF2B71" w:rsidRDefault="0024238E" w:rsidP="00762D6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F2B71">
              <w:rPr>
                <w:b/>
                <w:bCs/>
                <w:color w:val="000000"/>
                <w:sz w:val="24"/>
                <w:szCs w:val="24"/>
              </w:rPr>
              <w:t>Ochranná doba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6A9DA0" w14:textId="77777777" w:rsidR="0024238E" w:rsidRPr="00CF2B71" w:rsidRDefault="0024238E" w:rsidP="00762D6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F2B71">
              <w:rPr>
                <w:b/>
                <w:bCs/>
                <w:color w:val="000000"/>
                <w:sz w:val="24"/>
                <w:szCs w:val="24"/>
              </w:rPr>
              <w:t>Poznámka</w:t>
            </w:r>
          </w:p>
        </w:tc>
      </w:tr>
      <w:tr w:rsidR="0024238E" w:rsidRPr="0024238E" w14:paraId="03E0108E" w14:textId="77777777" w:rsidTr="00762D6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8FAF" w14:textId="77777777" w:rsidR="0024238E" w:rsidRPr="00CF2B71" w:rsidRDefault="0024238E" w:rsidP="00762D60">
            <w:pPr>
              <w:rPr>
                <w:b/>
                <w:color w:val="000000"/>
                <w:sz w:val="24"/>
                <w:szCs w:val="24"/>
              </w:rPr>
            </w:pPr>
            <w:r w:rsidRPr="00CF2B71">
              <w:rPr>
                <w:b/>
                <w:color w:val="000000"/>
                <w:sz w:val="24"/>
                <w:szCs w:val="24"/>
              </w:rPr>
              <w:t>jahoda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10D4" w14:textId="77777777" w:rsidR="0024238E" w:rsidRPr="00CF2B71" w:rsidRDefault="0024238E" w:rsidP="00762D60">
            <w:pPr>
              <w:rPr>
                <w:color w:val="000000"/>
                <w:sz w:val="24"/>
                <w:szCs w:val="24"/>
              </w:rPr>
            </w:pPr>
            <w:r w:rsidRPr="00CF2B71">
              <w:rPr>
                <w:color w:val="000000"/>
                <w:sz w:val="24"/>
                <w:szCs w:val="24"/>
              </w:rPr>
              <w:t>pleseň sivá, biela škvrnitosť listov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7BAB" w14:textId="77777777" w:rsidR="0024238E" w:rsidRPr="00CF2B71" w:rsidRDefault="0024238E" w:rsidP="00762D60">
            <w:pPr>
              <w:jc w:val="center"/>
              <w:rPr>
                <w:color w:val="000000"/>
                <w:sz w:val="24"/>
                <w:szCs w:val="24"/>
              </w:rPr>
            </w:pPr>
            <w:r w:rsidRPr="00CF2B71">
              <w:rPr>
                <w:color w:val="000000"/>
                <w:sz w:val="24"/>
                <w:szCs w:val="24"/>
              </w:rPr>
              <w:t>2,5 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231D" w14:textId="77777777" w:rsidR="0024238E" w:rsidRPr="0024238E" w:rsidRDefault="0024238E" w:rsidP="00762D60">
            <w:pPr>
              <w:pStyle w:val="Nadpis4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24238E">
              <w:rPr>
                <w:rFonts w:ascii="Times New Roman" w:hAnsi="Times New Roman" w:cs="Times New Roman"/>
                <w:color w:val="auto"/>
              </w:rPr>
              <w:t>3 dni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0121" w14:textId="77777777" w:rsidR="0024238E" w:rsidRPr="0024238E" w:rsidRDefault="0024238E" w:rsidP="00762D60">
            <w:pPr>
              <w:pStyle w:val="Nadpis4"/>
              <w:rPr>
                <w:rFonts w:ascii="Times New Roman" w:hAnsi="Times New Roman" w:cs="Times New Roman"/>
                <w:i/>
                <w:color w:val="auto"/>
              </w:rPr>
            </w:pPr>
            <w:r w:rsidRPr="0024238E">
              <w:rPr>
                <w:rFonts w:ascii="Times New Roman" w:hAnsi="Times New Roman" w:cs="Times New Roman"/>
                <w:color w:val="auto"/>
              </w:rPr>
              <w:t>aplikácia max. 3x</w:t>
            </w:r>
          </w:p>
        </w:tc>
      </w:tr>
      <w:tr w:rsidR="0024238E" w:rsidRPr="0024238E" w14:paraId="0DC6F2DB" w14:textId="77777777" w:rsidTr="00762D6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C897" w14:textId="77777777" w:rsidR="0024238E" w:rsidRPr="00CF2B71" w:rsidRDefault="0024238E" w:rsidP="00762D60">
            <w:pPr>
              <w:rPr>
                <w:b/>
                <w:color w:val="000000"/>
                <w:sz w:val="24"/>
                <w:szCs w:val="24"/>
              </w:rPr>
            </w:pPr>
            <w:r w:rsidRPr="00CF2B71">
              <w:rPr>
                <w:b/>
                <w:color w:val="000000"/>
                <w:sz w:val="24"/>
                <w:szCs w:val="24"/>
              </w:rPr>
              <w:t>špargľa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1AC0" w14:textId="77777777" w:rsidR="0024238E" w:rsidRPr="00CF2B71" w:rsidRDefault="0024238E" w:rsidP="00762D60">
            <w:pPr>
              <w:rPr>
                <w:color w:val="000000"/>
                <w:sz w:val="24"/>
                <w:szCs w:val="24"/>
              </w:rPr>
            </w:pPr>
            <w:r w:rsidRPr="00CF2B71">
              <w:rPr>
                <w:color w:val="000000"/>
                <w:sz w:val="24"/>
                <w:szCs w:val="24"/>
              </w:rPr>
              <w:t>hrdza špargle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260B" w14:textId="77777777" w:rsidR="0024238E" w:rsidRPr="00CF2B71" w:rsidRDefault="0024238E" w:rsidP="00762D60">
            <w:pPr>
              <w:jc w:val="center"/>
              <w:rPr>
                <w:color w:val="000000"/>
                <w:sz w:val="24"/>
                <w:szCs w:val="24"/>
              </w:rPr>
            </w:pPr>
            <w:r w:rsidRPr="00CF2B71">
              <w:rPr>
                <w:color w:val="000000"/>
                <w:sz w:val="24"/>
                <w:szCs w:val="24"/>
              </w:rPr>
              <w:t>2,5 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5C38" w14:textId="77777777" w:rsidR="0024238E" w:rsidRPr="0024238E" w:rsidRDefault="0024238E" w:rsidP="00762D60">
            <w:pPr>
              <w:pStyle w:val="Nadpis4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24238E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C3AA" w14:textId="77777777" w:rsidR="0024238E" w:rsidRPr="0024238E" w:rsidRDefault="0024238E" w:rsidP="00762D60">
            <w:pPr>
              <w:pStyle w:val="Nadpis4"/>
              <w:rPr>
                <w:rFonts w:ascii="Times New Roman" w:hAnsi="Times New Roman" w:cs="Times New Roman"/>
                <w:i/>
                <w:color w:val="auto"/>
              </w:rPr>
            </w:pPr>
            <w:r w:rsidRPr="0024238E">
              <w:rPr>
                <w:rFonts w:ascii="Times New Roman" w:hAnsi="Times New Roman" w:cs="Times New Roman"/>
                <w:color w:val="auto"/>
              </w:rPr>
              <w:t>aplikácia max. 3x</w:t>
            </w:r>
          </w:p>
        </w:tc>
      </w:tr>
    </w:tbl>
    <w:p w14:paraId="195D542C" w14:textId="77777777" w:rsidR="0024238E" w:rsidRPr="00CF2B71" w:rsidRDefault="0024238E" w:rsidP="0024238E">
      <w:pPr>
        <w:jc w:val="both"/>
        <w:rPr>
          <w:b/>
          <w:bCs/>
          <w:color w:val="000000"/>
          <w:sz w:val="24"/>
          <w:szCs w:val="24"/>
        </w:rPr>
      </w:pPr>
    </w:p>
    <w:p w14:paraId="2C72CD10" w14:textId="77777777" w:rsidR="0024238E" w:rsidRPr="00CF2B71" w:rsidRDefault="0024238E" w:rsidP="0024238E">
      <w:pPr>
        <w:jc w:val="both"/>
        <w:rPr>
          <w:b/>
          <w:sz w:val="24"/>
          <w:szCs w:val="24"/>
        </w:rPr>
      </w:pPr>
      <w:r w:rsidRPr="00CF2B71">
        <w:rPr>
          <w:b/>
          <w:sz w:val="24"/>
          <w:szCs w:val="24"/>
        </w:rPr>
        <w:t xml:space="preserve">Pestovateľ používa prípravok na vlastné riziko, pokiaľ ide o účinnosť prípravku a jeho bezpečnosť pre plodinu! Pokusy biologickej účinnosti pre podporu menej významného použitia neboli realizované a preto účinnosť nemôže byť garantovaná! Odrodová citlivosť, rezistencia ani </w:t>
      </w:r>
      <w:proofErr w:type="spellStart"/>
      <w:r w:rsidRPr="00CF2B71">
        <w:rPr>
          <w:b/>
          <w:sz w:val="24"/>
          <w:szCs w:val="24"/>
        </w:rPr>
        <w:t>fytotoxicita</w:t>
      </w:r>
      <w:proofErr w:type="spellEnd"/>
      <w:r w:rsidRPr="00CF2B71">
        <w:rPr>
          <w:b/>
          <w:sz w:val="24"/>
          <w:szCs w:val="24"/>
        </w:rPr>
        <w:t xml:space="preserve"> neboli hodnotené!</w:t>
      </w:r>
    </w:p>
    <w:p w14:paraId="4B31B7AD" w14:textId="484899EC" w:rsidR="0024238E" w:rsidRDefault="0024238E" w:rsidP="0024238E">
      <w:pPr>
        <w:jc w:val="both"/>
        <w:rPr>
          <w:b/>
          <w:bCs/>
          <w:color w:val="000000"/>
          <w:sz w:val="24"/>
          <w:szCs w:val="24"/>
        </w:rPr>
      </w:pPr>
    </w:p>
    <w:p w14:paraId="2445C814" w14:textId="02B4145B" w:rsidR="00CF2B71" w:rsidRDefault="00CF2B71" w:rsidP="0024238E">
      <w:pPr>
        <w:jc w:val="both"/>
        <w:rPr>
          <w:b/>
          <w:bCs/>
          <w:color w:val="000000"/>
          <w:sz w:val="24"/>
          <w:szCs w:val="24"/>
        </w:rPr>
      </w:pPr>
    </w:p>
    <w:p w14:paraId="517D8807" w14:textId="77777777" w:rsidR="00CF2B71" w:rsidRPr="00CF2B71" w:rsidRDefault="00CF2B71" w:rsidP="0024238E">
      <w:pPr>
        <w:jc w:val="both"/>
        <w:rPr>
          <w:b/>
          <w:bCs/>
          <w:color w:val="000000"/>
          <w:sz w:val="24"/>
          <w:szCs w:val="24"/>
        </w:rPr>
      </w:pPr>
    </w:p>
    <w:p w14:paraId="4D605205" w14:textId="77777777" w:rsidR="0024238E" w:rsidRPr="00CF2B71" w:rsidRDefault="0024238E" w:rsidP="0024238E">
      <w:pPr>
        <w:jc w:val="both"/>
        <w:rPr>
          <w:b/>
          <w:bCs/>
          <w:color w:val="000000"/>
          <w:sz w:val="24"/>
          <w:szCs w:val="24"/>
        </w:rPr>
      </w:pPr>
      <w:r w:rsidRPr="00CF2B71">
        <w:rPr>
          <w:b/>
          <w:bCs/>
          <w:color w:val="000000"/>
          <w:sz w:val="24"/>
          <w:szCs w:val="24"/>
        </w:rPr>
        <w:lastRenderedPageBreak/>
        <w:t>POKYNY PRE APLIKÁCIU</w:t>
      </w:r>
    </w:p>
    <w:p w14:paraId="0337726C" w14:textId="77777777" w:rsidR="0024238E" w:rsidRPr="00CF2B71" w:rsidRDefault="0024238E" w:rsidP="0024238E">
      <w:pPr>
        <w:jc w:val="both"/>
        <w:rPr>
          <w:color w:val="000000"/>
          <w:sz w:val="24"/>
          <w:szCs w:val="24"/>
        </w:rPr>
      </w:pPr>
      <w:r w:rsidRPr="00CF2B71">
        <w:rPr>
          <w:b/>
          <w:bCs/>
          <w:color w:val="000000"/>
          <w:sz w:val="24"/>
          <w:szCs w:val="24"/>
        </w:rPr>
        <w:t>Špargľu</w:t>
      </w:r>
      <w:r w:rsidRPr="00CF2B71">
        <w:rPr>
          <w:bCs/>
          <w:color w:val="000000"/>
          <w:sz w:val="24"/>
          <w:szCs w:val="24"/>
        </w:rPr>
        <w:t xml:space="preserve"> proti hrdzi špargle (</w:t>
      </w:r>
      <w:proofErr w:type="spellStart"/>
      <w:r w:rsidRPr="00CF2B71">
        <w:rPr>
          <w:bCs/>
          <w:i/>
          <w:color w:val="000000"/>
          <w:sz w:val="24"/>
          <w:szCs w:val="24"/>
        </w:rPr>
        <w:t>Puccinia</w:t>
      </w:r>
      <w:proofErr w:type="spellEnd"/>
      <w:r w:rsidRPr="00CF2B71">
        <w:rPr>
          <w:bCs/>
          <w:i/>
          <w:color w:val="000000"/>
          <w:sz w:val="24"/>
          <w:szCs w:val="24"/>
        </w:rPr>
        <w:t xml:space="preserve"> </w:t>
      </w:r>
      <w:proofErr w:type="spellStart"/>
      <w:r w:rsidRPr="00CF2B71">
        <w:rPr>
          <w:bCs/>
          <w:i/>
          <w:color w:val="000000"/>
          <w:sz w:val="24"/>
          <w:szCs w:val="24"/>
        </w:rPr>
        <w:t>asparagi</w:t>
      </w:r>
      <w:proofErr w:type="spellEnd"/>
      <w:r w:rsidRPr="00CF2B71">
        <w:rPr>
          <w:bCs/>
          <w:color w:val="000000"/>
          <w:sz w:val="24"/>
          <w:szCs w:val="24"/>
        </w:rPr>
        <w:t xml:space="preserve">) ošetrujte po zbere úrody, najneskôr do konca októbra. Špargľu ošetrujte v 10 dňových intervaloch. </w:t>
      </w:r>
      <w:r w:rsidRPr="00CF2B71">
        <w:rPr>
          <w:color w:val="000000"/>
          <w:sz w:val="24"/>
          <w:szCs w:val="24"/>
        </w:rPr>
        <w:t xml:space="preserve">Odporúčaná dávka vody 300-500 l/ha. </w:t>
      </w:r>
    </w:p>
    <w:p w14:paraId="3BC93430" w14:textId="6E9E0733" w:rsidR="00DE78A9" w:rsidRDefault="00DE78A9" w:rsidP="00DE78A9">
      <w:pPr>
        <w:tabs>
          <w:tab w:val="left" w:pos="3402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Maximálny počet aplikácií za vegetačné obdobie: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x. </w:t>
      </w:r>
    </w:p>
    <w:p w14:paraId="61521B8C" w14:textId="77777777" w:rsidR="00CF2B71" w:rsidRDefault="00CF2B71" w:rsidP="0024238E">
      <w:pPr>
        <w:jc w:val="both"/>
        <w:rPr>
          <w:b/>
          <w:bCs/>
          <w:color w:val="000000"/>
          <w:sz w:val="24"/>
          <w:szCs w:val="24"/>
        </w:rPr>
      </w:pPr>
    </w:p>
    <w:p w14:paraId="24FAA11C" w14:textId="691D6EDB" w:rsidR="00CF2B71" w:rsidRDefault="0024238E" w:rsidP="009364F7">
      <w:pPr>
        <w:jc w:val="both"/>
        <w:rPr>
          <w:color w:val="000000"/>
          <w:sz w:val="24"/>
          <w:szCs w:val="24"/>
        </w:rPr>
      </w:pPr>
      <w:r w:rsidRPr="00CF2B71">
        <w:rPr>
          <w:b/>
          <w:bCs/>
          <w:color w:val="000000"/>
          <w:sz w:val="24"/>
          <w:szCs w:val="24"/>
        </w:rPr>
        <w:t>Jahody</w:t>
      </w:r>
      <w:r w:rsidRPr="00CF2B71">
        <w:rPr>
          <w:bCs/>
          <w:color w:val="000000"/>
          <w:sz w:val="24"/>
          <w:szCs w:val="24"/>
        </w:rPr>
        <w:t xml:space="preserve"> proti plesni sivej (</w:t>
      </w:r>
      <w:proofErr w:type="spellStart"/>
      <w:r w:rsidRPr="00CF2B71">
        <w:rPr>
          <w:bCs/>
          <w:i/>
          <w:color w:val="000000"/>
          <w:sz w:val="24"/>
          <w:szCs w:val="24"/>
        </w:rPr>
        <w:t>Botrytis</w:t>
      </w:r>
      <w:proofErr w:type="spellEnd"/>
      <w:r w:rsidRPr="00CF2B71">
        <w:rPr>
          <w:bCs/>
          <w:i/>
          <w:color w:val="000000"/>
          <w:sz w:val="24"/>
          <w:szCs w:val="24"/>
        </w:rPr>
        <w:t xml:space="preserve"> </w:t>
      </w:r>
      <w:proofErr w:type="spellStart"/>
      <w:r w:rsidRPr="00CF2B71">
        <w:rPr>
          <w:bCs/>
          <w:i/>
          <w:color w:val="000000"/>
          <w:sz w:val="24"/>
          <w:szCs w:val="24"/>
        </w:rPr>
        <w:t>cinerea</w:t>
      </w:r>
      <w:proofErr w:type="spellEnd"/>
      <w:r w:rsidRPr="00CF2B71">
        <w:rPr>
          <w:bCs/>
          <w:color w:val="000000"/>
          <w:sz w:val="24"/>
          <w:szCs w:val="24"/>
        </w:rPr>
        <w:t>), bielej škvrnitosti listov (</w:t>
      </w:r>
      <w:proofErr w:type="spellStart"/>
      <w:r w:rsidRPr="00CF2B71">
        <w:rPr>
          <w:bCs/>
          <w:i/>
          <w:color w:val="000000"/>
          <w:sz w:val="24"/>
          <w:szCs w:val="24"/>
        </w:rPr>
        <w:t>Mycosphaerella</w:t>
      </w:r>
      <w:proofErr w:type="spellEnd"/>
      <w:r w:rsidRPr="00CF2B71">
        <w:rPr>
          <w:bCs/>
          <w:i/>
          <w:color w:val="000000"/>
          <w:sz w:val="24"/>
          <w:szCs w:val="24"/>
        </w:rPr>
        <w:t xml:space="preserve"> </w:t>
      </w:r>
      <w:proofErr w:type="spellStart"/>
      <w:r w:rsidRPr="00CF2B71">
        <w:rPr>
          <w:bCs/>
          <w:i/>
          <w:color w:val="000000"/>
          <w:sz w:val="24"/>
          <w:szCs w:val="24"/>
        </w:rPr>
        <w:t>fragariae</w:t>
      </w:r>
      <w:proofErr w:type="spellEnd"/>
      <w:r w:rsidRPr="00CF2B71">
        <w:rPr>
          <w:bCs/>
          <w:color w:val="000000"/>
          <w:sz w:val="24"/>
          <w:szCs w:val="24"/>
        </w:rPr>
        <w:t xml:space="preserve">) ošetrujte v 7 dňových intervaloch v období marec-apríl, september najneskôr však do októbra. </w:t>
      </w:r>
      <w:r w:rsidRPr="00CF2B71">
        <w:rPr>
          <w:color w:val="000000"/>
          <w:sz w:val="24"/>
          <w:szCs w:val="24"/>
        </w:rPr>
        <w:t>Odporúčaná dávka vody 200-600 l/ha. Neaplikujte na jahody v čase kvetu!</w:t>
      </w:r>
    </w:p>
    <w:p w14:paraId="15FBD7C4" w14:textId="1BF16332" w:rsidR="00DE78A9" w:rsidRDefault="00DE78A9" w:rsidP="00DE78A9">
      <w:pPr>
        <w:tabs>
          <w:tab w:val="left" w:pos="3402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Maximálny počet aplikácií za vegetačné obdobie: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x. </w:t>
      </w:r>
    </w:p>
    <w:p w14:paraId="243900A8" w14:textId="56F6E414" w:rsidR="00CF2B71" w:rsidRDefault="00CF2B71" w:rsidP="009364F7">
      <w:pPr>
        <w:jc w:val="both"/>
        <w:rPr>
          <w:color w:val="000000"/>
          <w:sz w:val="24"/>
          <w:szCs w:val="24"/>
        </w:rPr>
      </w:pPr>
    </w:p>
    <w:p w14:paraId="242D6A26" w14:textId="12D58416" w:rsidR="009364F7" w:rsidRPr="00D802B4" w:rsidRDefault="009364F7" w:rsidP="009364F7">
      <w:pPr>
        <w:jc w:val="both"/>
        <w:rPr>
          <w:b/>
          <w:bCs/>
          <w:sz w:val="24"/>
          <w:szCs w:val="24"/>
        </w:rPr>
      </w:pPr>
      <w:r w:rsidRPr="00D802B4">
        <w:rPr>
          <w:b/>
          <w:bCs/>
          <w:sz w:val="24"/>
          <w:szCs w:val="24"/>
        </w:rPr>
        <w:t>INFORMÁCIE O MOŽNEJ FYTOTOXICITE, ODRODOVEJ CITLIVOSTI A VŠETKÝCH ĎALŠÍCH PRIAMYCH A NEPRIAMYCH NEPRIAZNIVÝCH ÚČINKOCH NA RASTLINY ALEBO RASTLINNÉ PRODUKTY</w:t>
      </w:r>
    </w:p>
    <w:p w14:paraId="01DF42A7" w14:textId="6D0CC1DA" w:rsidR="00CA6D93" w:rsidRPr="00427526" w:rsidRDefault="002B27B0" w:rsidP="00CA6D93">
      <w:pPr>
        <w:jc w:val="both"/>
        <w:rPr>
          <w:sz w:val="24"/>
          <w:szCs w:val="24"/>
        </w:rPr>
      </w:pPr>
      <w:r w:rsidRPr="006A2486">
        <w:rPr>
          <w:sz w:val="24"/>
          <w:szCs w:val="24"/>
        </w:rPr>
        <w:t xml:space="preserve">Pri </w:t>
      </w:r>
      <w:r w:rsidR="00B67FFC" w:rsidRPr="006A2486">
        <w:rPr>
          <w:sz w:val="24"/>
          <w:szCs w:val="24"/>
        </w:rPr>
        <w:t>dodržaní odporúčaných dávok, aplikačných termínov a správnej poľnohospodárskej praxe je prípravok FLOWBRIX</w:t>
      </w:r>
      <w:r w:rsidR="009364F7" w:rsidRPr="006A2486">
        <w:rPr>
          <w:sz w:val="24"/>
          <w:szCs w:val="24"/>
          <w:vertAlign w:val="superscript"/>
        </w:rPr>
        <w:t>®</w:t>
      </w:r>
      <w:r w:rsidR="00B67FFC" w:rsidRPr="006A2486">
        <w:rPr>
          <w:sz w:val="24"/>
          <w:szCs w:val="24"/>
        </w:rPr>
        <w:t xml:space="preserve"> bezpečný k ošetrovaným plodinám.</w:t>
      </w:r>
      <w:r w:rsidR="00CA6D93" w:rsidRPr="00CA6D93">
        <w:rPr>
          <w:sz w:val="24"/>
          <w:szCs w:val="24"/>
        </w:rPr>
        <w:t xml:space="preserve"> </w:t>
      </w:r>
      <w:r w:rsidR="00CA6D93" w:rsidRPr="00427526">
        <w:rPr>
          <w:sz w:val="24"/>
          <w:szCs w:val="24"/>
        </w:rPr>
        <w:t>Pozor na odrody citlivé na meď.</w:t>
      </w:r>
    </w:p>
    <w:p w14:paraId="253945B5" w14:textId="77777777" w:rsidR="002823BB" w:rsidRPr="006C5AE8" w:rsidRDefault="002823BB" w:rsidP="00B67FFC">
      <w:pPr>
        <w:pStyle w:val="OECD-BASIS-TEXT"/>
        <w:rPr>
          <w:sz w:val="24"/>
          <w:szCs w:val="24"/>
        </w:rPr>
      </w:pPr>
    </w:p>
    <w:p w14:paraId="4C0AAD0F" w14:textId="77777777" w:rsidR="00EA192A" w:rsidRPr="006C5AE8" w:rsidRDefault="00573DB2" w:rsidP="00EE49D6">
      <w:pPr>
        <w:jc w:val="both"/>
        <w:rPr>
          <w:b/>
          <w:bCs/>
          <w:caps/>
          <w:color w:val="000000"/>
          <w:sz w:val="24"/>
          <w:szCs w:val="24"/>
        </w:rPr>
      </w:pPr>
      <w:r w:rsidRPr="006C5AE8">
        <w:rPr>
          <w:b/>
          <w:bCs/>
          <w:caps/>
          <w:color w:val="000000"/>
          <w:sz w:val="24"/>
          <w:szCs w:val="24"/>
        </w:rPr>
        <w:t>O</w:t>
      </w:r>
      <w:r w:rsidR="009364F7">
        <w:rPr>
          <w:b/>
          <w:bCs/>
          <w:caps/>
          <w:color w:val="000000"/>
          <w:sz w:val="24"/>
          <w:szCs w:val="24"/>
        </w:rPr>
        <w:t>PATRENIA</w:t>
      </w:r>
      <w:r w:rsidRPr="006C5AE8">
        <w:rPr>
          <w:b/>
          <w:bCs/>
          <w:caps/>
          <w:color w:val="000000"/>
          <w:sz w:val="24"/>
          <w:szCs w:val="24"/>
        </w:rPr>
        <w:t xml:space="preserve"> proti vzniku rezistencie</w:t>
      </w:r>
    </w:p>
    <w:p w14:paraId="509DF283" w14:textId="5B905EE5" w:rsidR="00573DB2" w:rsidRDefault="00B67FFC" w:rsidP="00EE49D6">
      <w:pPr>
        <w:jc w:val="both"/>
        <w:rPr>
          <w:bCs/>
          <w:color w:val="000000"/>
          <w:sz w:val="24"/>
          <w:szCs w:val="24"/>
        </w:rPr>
      </w:pPr>
      <w:r w:rsidRPr="006C5AE8">
        <w:rPr>
          <w:color w:val="000000"/>
          <w:sz w:val="24"/>
          <w:szCs w:val="24"/>
        </w:rPr>
        <w:t xml:space="preserve">Neboli zaznamenané žiadne prípady rezistencie patogénov na </w:t>
      </w:r>
      <w:proofErr w:type="spellStart"/>
      <w:r w:rsidRPr="006C5AE8">
        <w:rPr>
          <w:color w:val="000000"/>
          <w:sz w:val="24"/>
          <w:szCs w:val="24"/>
        </w:rPr>
        <w:t>oxychlorid</w:t>
      </w:r>
      <w:proofErr w:type="spellEnd"/>
      <w:r w:rsidRPr="006C5AE8">
        <w:rPr>
          <w:color w:val="000000"/>
          <w:sz w:val="24"/>
          <w:szCs w:val="24"/>
        </w:rPr>
        <w:t xml:space="preserve"> medi</w:t>
      </w:r>
      <w:r w:rsidR="00BB58B9" w:rsidRPr="006C5AE8">
        <w:rPr>
          <w:color w:val="000000"/>
          <w:sz w:val="24"/>
          <w:szCs w:val="24"/>
        </w:rPr>
        <w:t xml:space="preserve"> zaradenej podľa organizácie FRAC do skupiny MI.</w:t>
      </w:r>
      <w:r w:rsidRPr="006C5AE8">
        <w:rPr>
          <w:color w:val="000000"/>
          <w:sz w:val="24"/>
          <w:szCs w:val="24"/>
        </w:rPr>
        <w:t xml:space="preserve"> </w:t>
      </w:r>
      <w:r w:rsidR="00900E56" w:rsidRPr="006C5AE8">
        <w:rPr>
          <w:color w:val="000000"/>
          <w:sz w:val="24"/>
          <w:szCs w:val="24"/>
        </w:rPr>
        <w:t xml:space="preserve">Prípravok </w:t>
      </w:r>
      <w:r w:rsidRPr="006C5AE8">
        <w:rPr>
          <w:color w:val="000000"/>
          <w:sz w:val="24"/>
          <w:szCs w:val="24"/>
        </w:rPr>
        <w:t>nepredstavuje riziko z hľadiska vzniku rezistencie</w:t>
      </w:r>
      <w:r w:rsidR="00900E56" w:rsidRPr="006C5AE8">
        <w:rPr>
          <w:color w:val="000000"/>
          <w:sz w:val="24"/>
          <w:szCs w:val="24"/>
        </w:rPr>
        <w:t xml:space="preserve">, preto ho </w:t>
      </w:r>
      <w:r w:rsidR="002F134F" w:rsidRPr="006C5AE8">
        <w:rPr>
          <w:color w:val="000000"/>
          <w:sz w:val="24"/>
          <w:szCs w:val="24"/>
        </w:rPr>
        <w:t xml:space="preserve">je </w:t>
      </w:r>
      <w:r w:rsidR="00900E56" w:rsidRPr="006C5AE8">
        <w:rPr>
          <w:color w:val="000000"/>
          <w:sz w:val="24"/>
          <w:szCs w:val="24"/>
        </w:rPr>
        <w:t>možné použiť v </w:t>
      </w:r>
      <w:proofErr w:type="spellStart"/>
      <w:r w:rsidR="00900E56" w:rsidRPr="006C5AE8">
        <w:rPr>
          <w:color w:val="000000"/>
          <w:sz w:val="24"/>
          <w:szCs w:val="24"/>
        </w:rPr>
        <w:t>antirezistentných</w:t>
      </w:r>
      <w:proofErr w:type="spellEnd"/>
      <w:r w:rsidR="00900E56" w:rsidRPr="006C5AE8">
        <w:rPr>
          <w:color w:val="000000"/>
          <w:sz w:val="24"/>
          <w:szCs w:val="24"/>
        </w:rPr>
        <w:t xml:space="preserve"> programoch</w:t>
      </w:r>
      <w:r w:rsidR="00631ECD" w:rsidRPr="006C5AE8">
        <w:rPr>
          <w:color w:val="000000"/>
          <w:sz w:val="24"/>
          <w:szCs w:val="24"/>
        </w:rPr>
        <w:t xml:space="preserve"> a v</w:t>
      </w:r>
      <w:r w:rsidRPr="006C5AE8">
        <w:rPr>
          <w:color w:val="000000"/>
          <w:sz w:val="24"/>
          <w:szCs w:val="24"/>
        </w:rPr>
        <w:t xml:space="preserve"> systémoch integrovanej ochrany. Dodržujte nasledovné odporúčania: dodržujte odporúčané dávky a maximálny odporúčaný počet aplikácií za</w:t>
      </w:r>
      <w:r w:rsidR="009364F7">
        <w:rPr>
          <w:color w:val="000000"/>
          <w:sz w:val="24"/>
          <w:szCs w:val="24"/>
        </w:rPr>
        <w:t> </w:t>
      </w:r>
      <w:r w:rsidRPr="006C5AE8">
        <w:rPr>
          <w:color w:val="000000"/>
          <w:sz w:val="24"/>
          <w:szCs w:val="24"/>
        </w:rPr>
        <w:t>sezónu. Prípravok FLOWBRIX</w:t>
      </w:r>
      <w:r w:rsidR="009364F7" w:rsidRPr="00E23237">
        <w:rPr>
          <w:sz w:val="24"/>
          <w:szCs w:val="24"/>
          <w:vertAlign w:val="superscript"/>
        </w:rPr>
        <w:t>®</w:t>
      </w:r>
      <w:r w:rsidRPr="006C5AE8">
        <w:rPr>
          <w:color w:val="000000"/>
          <w:sz w:val="24"/>
          <w:szCs w:val="24"/>
        </w:rPr>
        <w:t xml:space="preserve"> používajte ako súčasť stratégie spolu s </w:t>
      </w:r>
      <w:proofErr w:type="spellStart"/>
      <w:r w:rsidRPr="006C5AE8">
        <w:rPr>
          <w:bCs/>
          <w:color w:val="000000"/>
          <w:sz w:val="24"/>
          <w:szCs w:val="24"/>
        </w:rPr>
        <w:t>fungicídmi</w:t>
      </w:r>
      <w:proofErr w:type="spellEnd"/>
      <w:r w:rsidRPr="006C5AE8">
        <w:rPr>
          <w:bCs/>
          <w:color w:val="000000"/>
          <w:sz w:val="24"/>
          <w:szCs w:val="24"/>
        </w:rPr>
        <w:t xml:space="preserve"> s odlišným mechanizmom účinku.</w:t>
      </w:r>
    </w:p>
    <w:p w14:paraId="4F591FA0" w14:textId="77777777" w:rsidR="002F134F" w:rsidRPr="006C5AE8" w:rsidRDefault="002F134F" w:rsidP="00EE49D6">
      <w:pPr>
        <w:jc w:val="both"/>
        <w:rPr>
          <w:bCs/>
          <w:color w:val="000000"/>
          <w:sz w:val="24"/>
          <w:szCs w:val="24"/>
        </w:rPr>
      </w:pPr>
    </w:p>
    <w:p w14:paraId="3FC1A8A6" w14:textId="77777777" w:rsidR="009364F7" w:rsidRPr="00D802B4" w:rsidRDefault="009364F7" w:rsidP="009364F7">
      <w:pPr>
        <w:jc w:val="both"/>
        <w:rPr>
          <w:b/>
          <w:sz w:val="24"/>
          <w:szCs w:val="24"/>
        </w:rPr>
      </w:pPr>
      <w:r w:rsidRPr="002823BB">
        <w:rPr>
          <w:b/>
          <w:sz w:val="24"/>
          <w:szCs w:val="24"/>
        </w:rPr>
        <w:t>VPLYV NA ÚRODU</w:t>
      </w:r>
    </w:p>
    <w:p w14:paraId="4B0A155C" w14:textId="745A7AC1" w:rsidR="00EA01B7" w:rsidRDefault="00EA01B7" w:rsidP="00DF0E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Aplikácia prípravku </w:t>
      </w:r>
      <w:r w:rsidR="002823BB">
        <w:rPr>
          <w:sz w:val="24"/>
          <w:szCs w:val="24"/>
        </w:rPr>
        <w:t>FLOWBRIX</w:t>
      </w:r>
      <w:r w:rsidRPr="002823BB">
        <w:rPr>
          <w:sz w:val="24"/>
          <w:szCs w:val="24"/>
          <w:vertAlign w:val="superscript"/>
        </w:rPr>
        <w:t>®</w:t>
      </w:r>
      <w:r>
        <w:rPr>
          <w:sz w:val="24"/>
          <w:szCs w:val="24"/>
        </w:rPr>
        <w:t xml:space="preserve"> nemá negatívny vplyv na kvantitatívne a kvalitatívne parametre úrody.</w:t>
      </w:r>
    </w:p>
    <w:p w14:paraId="6FE56937" w14:textId="77777777" w:rsidR="002640B6" w:rsidRPr="006C5AE8" w:rsidRDefault="002640B6" w:rsidP="00DF0E4B">
      <w:pPr>
        <w:jc w:val="both"/>
        <w:rPr>
          <w:sz w:val="24"/>
          <w:szCs w:val="24"/>
        </w:rPr>
      </w:pPr>
    </w:p>
    <w:p w14:paraId="4F02643B" w14:textId="5FC7F78D" w:rsidR="00BB58B9" w:rsidRPr="006C5AE8" w:rsidRDefault="009364F7" w:rsidP="00DF0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VPLYV NA NÁSLEDNÉ, </w:t>
      </w:r>
      <w:r w:rsidR="00BB58B9" w:rsidRPr="006C5AE8">
        <w:rPr>
          <w:b/>
          <w:sz w:val="24"/>
          <w:szCs w:val="24"/>
        </w:rPr>
        <w:t xml:space="preserve">NÁHRADNÉ </w:t>
      </w:r>
      <w:r w:rsidR="002823BB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 SUSEDIACE </w:t>
      </w:r>
      <w:r w:rsidR="00BB58B9" w:rsidRPr="006C5AE8">
        <w:rPr>
          <w:b/>
          <w:sz w:val="24"/>
          <w:szCs w:val="24"/>
        </w:rPr>
        <w:t>PLODINY</w:t>
      </w:r>
    </w:p>
    <w:p w14:paraId="29CC1203" w14:textId="77777777" w:rsidR="00BB58B9" w:rsidRPr="006C5AE8" w:rsidRDefault="00BB58B9" w:rsidP="00DF0E4B">
      <w:pPr>
        <w:jc w:val="both"/>
        <w:rPr>
          <w:sz w:val="24"/>
          <w:szCs w:val="24"/>
        </w:rPr>
      </w:pPr>
      <w:r w:rsidRPr="006C5AE8">
        <w:rPr>
          <w:sz w:val="24"/>
          <w:szCs w:val="24"/>
        </w:rPr>
        <w:t>Nevyžaduje sa čakacia doba medzi aplikáciou prípravku FLOWBRIX</w:t>
      </w:r>
      <w:r w:rsidR="009364F7" w:rsidRPr="00E23237">
        <w:rPr>
          <w:sz w:val="24"/>
          <w:szCs w:val="24"/>
          <w:vertAlign w:val="superscript"/>
        </w:rPr>
        <w:t>®</w:t>
      </w:r>
      <w:r w:rsidRPr="006C5AE8">
        <w:rPr>
          <w:sz w:val="24"/>
          <w:szCs w:val="24"/>
        </w:rPr>
        <w:t xml:space="preserve"> a výsadbou následnej alebo náhradnej plodiny.</w:t>
      </w:r>
      <w:r w:rsidR="002640B6">
        <w:rPr>
          <w:sz w:val="24"/>
          <w:szCs w:val="24"/>
        </w:rPr>
        <w:t xml:space="preserve"> Pri aplikácii prípravku zabráňte úletu postrekovej kvapaliny na susediace plodiny. </w:t>
      </w:r>
    </w:p>
    <w:p w14:paraId="14DBCA1E" w14:textId="77777777" w:rsidR="00BB58B9" w:rsidRPr="006C5AE8" w:rsidRDefault="00BB58B9" w:rsidP="00DF0E4B">
      <w:pPr>
        <w:jc w:val="both"/>
        <w:rPr>
          <w:sz w:val="24"/>
          <w:szCs w:val="24"/>
        </w:rPr>
      </w:pPr>
    </w:p>
    <w:p w14:paraId="4EE5B03F" w14:textId="77777777" w:rsidR="00DF0E4B" w:rsidRPr="006C5AE8" w:rsidRDefault="00BB58B9" w:rsidP="00DF0E4B">
      <w:pPr>
        <w:jc w:val="both"/>
        <w:rPr>
          <w:b/>
          <w:bCs/>
          <w:color w:val="000000"/>
          <w:sz w:val="24"/>
          <w:szCs w:val="24"/>
        </w:rPr>
      </w:pPr>
      <w:r w:rsidRPr="006C5AE8">
        <w:rPr>
          <w:b/>
          <w:bCs/>
          <w:color w:val="000000"/>
          <w:sz w:val="24"/>
          <w:szCs w:val="24"/>
        </w:rPr>
        <w:t>VPLYV NA UŽITOČNÉ A INÉ NECIEĽOVÉ ORGANIZMY</w:t>
      </w:r>
    </w:p>
    <w:p w14:paraId="5CA74870" w14:textId="14ECB313" w:rsidR="000B5B0E" w:rsidRPr="006A2486" w:rsidRDefault="00BE6E0A" w:rsidP="000B5B0E">
      <w:pPr>
        <w:pStyle w:val="Default"/>
        <w:jc w:val="both"/>
        <w:rPr>
          <w:b/>
          <w:lang w:val="sk-SK"/>
        </w:rPr>
      </w:pPr>
      <w:r w:rsidRPr="006A2486">
        <w:rPr>
          <w:bCs/>
          <w:lang w:val="sk-SK"/>
        </w:rPr>
        <w:t>Z hľa</w:t>
      </w:r>
      <w:r w:rsidR="00DF0E4B" w:rsidRPr="006A2486">
        <w:rPr>
          <w:bCs/>
          <w:lang w:val="sk-SK"/>
        </w:rPr>
        <w:t xml:space="preserve">diska ochrany </w:t>
      </w:r>
      <w:r w:rsidRPr="006A2486">
        <w:rPr>
          <w:bCs/>
          <w:lang w:val="sk-SK"/>
        </w:rPr>
        <w:t>vtáctva</w:t>
      </w:r>
      <w:r w:rsidR="00DF0E4B" w:rsidRPr="006A2486">
        <w:rPr>
          <w:bCs/>
          <w:lang w:val="sk-SK"/>
        </w:rPr>
        <w:t>, vč</w:t>
      </w:r>
      <w:r w:rsidRPr="006A2486">
        <w:rPr>
          <w:bCs/>
          <w:lang w:val="sk-SK"/>
        </w:rPr>
        <w:t>i</w:t>
      </w:r>
      <w:r w:rsidR="00DF0E4B" w:rsidRPr="006A2486">
        <w:rPr>
          <w:bCs/>
          <w:lang w:val="sk-SK"/>
        </w:rPr>
        <w:t xml:space="preserve">el, </w:t>
      </w:r>
      <w:r w:rsidRPr="006A2486">
        <w:rPr>
          <w:bCs/>
          <w:lang w:val="sk-SK"/>
        </w:rPr>
        <w:t xml:space="preserve">necieľových článkonožcov, </w:t>
      </w:r>
      <w:r w:rsidR="00DF0E4B" w:rsidRPr="006A2486">
        <w:rPr>
          <w:bCs/>
          <w:lang w:val="sk-SK"/>
        </w:rPr>
        <w:t xml:space="preserve">suchozemských </w:t>
      </w:r>
      <w:r w:rsidRPr="006A2486">
        <w:rPr>
          <w:bCs/>
          <w:lang w:val="sk-SK"/>
        </w:rPr>
        <w:t>stavovcov, pôdny</w:t>
      </w:r>
      <w:r w:rsidR="00DF0E4B" w:rsidRPr="006A2486">
        <w:rPr>
          <w:bCs/>
          <w:lang w:val="sk-SK"/>
        </w:rPr>
        <w:t>ch</w:t>
      </w:r>
      <w:r w:rsidR="006A2486" w:rsidRPr="006A2486">
        <w:rPr>
          <w:bCs/>
          <w:lang w:val="sk-SK"/>
        </w:rPr>
        <w:t xml:space="preserve"> </w:t>
      </w:r>
      <w:proofErr w:type="spellStart"/>
      <w:r w:rsidR="006A2486" w:rsidRPr="006A2486">
        <w:rPr>
          <w:bCs/>
          <w:lang w:val="sk-SK"/>
        </w:rPr>
        <w:t>mikro</w:t>
      </w:r>
      <w:proofErr w:type="spellEnd"/>
      <w:r w:rsidR="006A2486" w:rsidRPr="006A2486">
        <w:rPr>
          <w:bCs/>
          <w:lang w:val="sk-SK"/>
        </w:rPr>
        <w:t xml:space="preserve"> a makroorganizmov </w:t>
      </w:r>
      <w:r w:rsidRPr="006A2486">
        <w:rPr>
          <w:bCs/>
          <w:lang w:val="sk-SK"/>
        </w:rPr>
        <w:t>a necieľových rastlín nevyžaduje prípravok klasifiká</w:t>
      </w:r>
      <w:r w:rsidR="00DF0E4B" w:rsidRPr="006A2486">
        <w:rPr>
          <w:bCs/>
          <w:lang w:val="sk-SK"/>
        </w:rPr>
        <w:t>ci</w:t>
      </w:r>
      <w:r w:rsidRPr="006A2486">
        <w:rPr>
          <w:bCs/>
          <w:lang w:val="sk-SK"/>
        </w:rPr>
        <w:t>u</w:t>
      </w:r>
      <w:r w:rsidR="00DF0E4B" w:rsidRPr="006A2486">
        <w:rPr>
          <w:bCs/>
          <w:lang w:val="sk-SK"/>
        </w:rPr>
        <w:t>.</w:t>
      </w:r>
      <w:r w:rsidR="000B5B0E" w:rsidRPr="006A2486">
        <w:rPr>
          <w:bCs/>
          <w:lang w:val="sk-SK"/>
        </w:rPr>
        <w:t xml:space="preserve"> Prípravok je </w:t>
      </w:r>
      <w:r w:rsidR="000B5B0E" w:rsidRPr="006A2486">
        <w:rPr>
          <w:lang w:val="sk-SK"/>
        </w:rPr>
        <w:t>veľmi jedovatý pre vodné organizmy, môže spôsobiť dlhodobé nepriaznivé účinky vo vodnej zložke životného prostredia.</w:t>
      </w:r>
    </w:p>
    <w:p w14:paraId="33733464" w14:textId="7BADD0A4" w:rsidR="004516AF" w:rsidRDefault="004516AF" w:rsidP="00EE49D6">
      <w:pPr>
        <w:jc w:val="both"/>
        <w:rPr>
          <w:b/>
          <w:bCs/>
          <w:caps/>
          <w:color w:val="000000"/>
          <w:sz w:val="24"/>
          <w:szCs w:val="24"/>
        </w:rPr>
      </w:pPr>
    </w:p>
    <w:p w14:paraId="5298ACE7" w14:textId="7DA16381" w:rsidR="00F65D32" w:rsidRPr="006C5AE8" w:rsidRDefault="009364F7" w:rsidP="00EE49D6">
      <w:pPr>
        <w:jc w:val="both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Príprava postrekovej</w:t>
      </w:r>
      <w:r w:rsidR="00F65D32" w:rsidRPr="006C5AE8">
        <w:rPr>
          <w:b/>
          <w:bCs/>
          <w:caps/>
          <w:color w:val="000000"/>
          <w:sz w:val="24"/>
          <w:szCs w:val="24"/>
        </w:rPr>
        <w:t xml:space="preserve"> kvapaliny</w:t>
      </w:r>
      <w:r w:rsidR="0031128D" w:rsidRPr="006C5AE8">
        <w:rPr>
          <w:b/>
          <w:bCs/>
          <w:caps/>
          <w:color w:val="000000"/>
          <w:sz w:val="24"/>
          <w:szCs w:val="24"/>
        </w:rPr>
        <w:t xml:space="preserve"> A ZNEŠKODNENIE OBALOV</w:t>
      </w:r>
    </w:p>
    <w:p w14:paraId="462E0657" w14:textId="0446BE14" w:rsidR="00D23106" w:rsidRDefault="0085438F" w:rsidP="00D23106">
      <w:pPr>
        <w:tabs>
          <w:tab w:val="left" w:pos="3402"/>
        </w:tabs>
        <w:jc w:val="both"/>
        <w:rPr>
          <w:sz w:val="24"/>
          <w:szCs w:val="24"/>
        </w:rPr>
      </w:pPr>
      <w:r w:rsidRPr="006C5AE8">
        <w:rPr>
          <w:color w:val="000000"/>
          <w:sz w:val="24"/>
          <w:szCs w:val="24"/>
        </w:rPr>
        <w:t>Odmerané</w:t>
      </w:r>
      <w:r w:rsidR="009364F7">
        <w:rPr>
          <w:color w:val="000000"/>
          <w:sz w:val="24"/>
          <w:szCs w:val="24"/>
        </w:rPr>
        <w:t xml:space="preserve"> množstvo prípravku vlejte do</w:t>
      </w:r>
      <w:r w:rsidR="00F65D32" w:rsidRPr="006C5AE8">
        <w:rPr>
          <w:color w:val="000000"/>
          <w:sz w:val="24"/>
          <w:szCs w:val="24"/>
        </w:rPr>
        <w:t xml:space="preserve"> postre</w:t>
      </w:r>
      <w:r w:rsidR="009364F7">
        <w:rPr>
          <w:color w:val="000000"/>
          <w:sz w:val="24"/>
          <w:szCs w:val="24"/>
        </w:rPr>
        <w:t>kovača naplneného do polovice vodou a za stáleho miešania doplňte nádrž na</w:t>
      </w:r>
      <w:r w:rsidR="00F65D32" w:rsidRPr="006C5AE8">
        <w:rPr>
          <w:color w:val="000000"/>
          <w:sz w:val="24"/>
          <w:szCs w:val="24"/>
        </w:rPr>
        <w:t xml:space="preserve"> požadovaný objem.</w:t>
      </w:r>
      <w:r w:rsidR="00F65D32" w:rsidRPr="006C5AE8">
        <w:rPr>
          <w:color w:val="FF0000"/>
          <w:sz w:val="24"/>
          <w:szCs w:val="24"/>
        </w:rPr>
        <w:t xml:space="preserve"> </w:t>
      </w:r>
      <w:r w:rsidR="00D23106" w:rsidRPr="006C5AE8">
        <w:rPr>
          <w:sz w:val="24"/>
          <w:szCs w:val="24"/>
        </w:rPr>
        <w:t>Prázdny obal z tohto prípravku vypláchnite vodou, a to buď r</w:t>
      </w:r>
      <w:r w:rsidR="009364F7">
        <w:rPr>
          <w:sz w:val="24"/>
          <w:szCs w:val="24"/>
        </w:rPr>
        <w:t xml:space="preserve">učne (3 krát po sebe) alebo </w:t>
      </w:r>
      <w:r w:rsidR="00E12C92">
        <w:rPr>
          <w:sz w:val="24"/>
          <w:szCs w:val="24"/>
        </w:rPr>
        <w:t>v</w:t>
      </w:r>
      <w:r w:rsidR="009364F7">
        <w:rPr>
          <w:sz w:val="24"/>
          <w:szCs w:val="24"/>
        </w:rPr>
        <w:t xml:space="preserve"> </w:t>
      </w:r>
      <w:r w:rsidR="0031128D" w:rsidRPr="006C5AE8">
        <w:rPr>
          <w:sz w:val="24"/>
          <w:szCs w:val="24"/>
        </w:rPr>
        <w:t xml:space="preserve">premiešavacom </w:t>
      </w:r>
      <w:r w:rsidR="00D23106" w:rsidRPr="006C5AE8">
        <w:rPr>
          <w:sz w:val="24"/>
          <w:szCs w:val="24"/>
        </w:rPr>
        <w:t>zariadení</w:t>
      </w:r>
      <w:r w:rsidR="00E12C92">
        <w:rPr>
          <w:sz w:val="24"/>
          <w:szCs w:val="24"/>
        </w:rPr>
        <w:t xml:space="preserve">, </w:t>
      </w:r>
      <w:r w:rsidR="00E12C92" w:rsidRPr="00D802B4">
        <w:rPr>
          <w:sz w:val="24"/>
          <w:szCs w:val="24"/>
        </w:rPr>
        <w:t>ktoré je súčasťou postrekovača.</w:t>
      </w:r>
      <w:r w:rsidR="00D23106" w:rsidRPr="006C5AE8">
        <w:rPr>
          <w:sz w:val="24"/>
          <w:szCs w:val="24"/>
        </w:rPr>
        <w:t xml:space="preserve"> Výplachovú </w:t>
      </w:r>
      <w:r w:rsidR="0031128D" w:rsidRPr="006C5AE8">
        <w:rPr>
          <w:sz w:val="24"/>
          <w:szCs w:val="24"/>
        </w:rPr>
        <w:t>vodu</w:t>
      </w:r>
      <w:r w:rsidR="00D23106" w:rsidRPr="006C5AE8">
        <w:rPr>
          <w:sz w:val="24"/>
          <w:szCs w:val="24"/>
        </w:rPr>
        <w:t xml:space="preserve"> vlejte do nádrže postrekovača a obal odovzdajte vášmu zmluvnému subjektu, ktorý má oprávnenie na zber a zneškodňovanie prázdnych obalov.</w:t>
      </w:r>
      <w:r w:rsidR="0031128D" w:rsidRPr="006C5AE8">
        <w:rPr>
          <w:sz w:val="24"/>
          <w:szCs w:val="24"/>
        </w:rPr>
        <w:t xml:space="preserve"> Pripravte len také množstvo postrekovej kvapaliny, ktoré spotrebujete.</w:t>
      </w:r>
      <w:r w:rsidR="002640B6">
        <w:rPr>
          <w:sz w:val="24"/>
          <w:szCs w:val="24"/>
        </w:rPr>
        <w:t xml:space="preserve"> </w:t>
      </w:r>
    </w:p>
    <w:p w14:paraId="6EB60B13" w14:textId="6BAF8DBC" w:rsidR="002640B6" w:rsidRPr="006C5AE8" w:rsidRDefault="002640B6" w:rsidP="00D23106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Zákaz opätovného použitia obalu alebo jeho použitia na iné účely ! </w:t>
      </w:r>
    </w:p>
    <w:p w14:paraId="58D3BF14" w14:textId="1C3E185C" w:rsidR="0031128D" w:rsidRPr="006C5AE8" w:rsidRDefault="009364F7" w:rsidP="00D23106">
      <w:pPr>
        <w:tabs>
          <w:tab w:val="left" w:pos="3402"/>
        </w:tabs>
        <w:jc w:val="both"/>
        <w:rPr>
          <w:sz w:val="24"/>
          <w:szCs w:val="24"/>
        </w:rPr>
      </w:pPr>
      <w:r w:rsidRPr="006C5AE8">
        <w:rPr>
          <w:color w:val="000000"/>
          <w:sz w:val="24"/>
          <w:szCs w:val="24"/>
        </w:rPr>
        <w:t>FLOWBRIX</w:t>
      </w:r>
      <w:r w:rsidRPr="00E23237">
        <w:rPr>
          <w:sz w:val="24"/>
          <w:szCs w:val="24"/>
          <w:vertAlign w:val="superscript"/>
        </w:rPr>
        <w:t>®</w:t>
      </w:r>
      <w:r w:rsidR="0031128D" w:rsidRPr="006C5AE8">
        <w:rPr>
          <w:sz w:val="24"/>
          <w:szCs w:val="24"/>
        </w:rPr>
        <w:t xml:space="preserve"> je kompatibilný s bežnými </w:t>
      </w:r>
      <w:proofErr w:type="spellStart"/>
      <w:r w:rsidR="0031128D" w:rsidRPr="006C5AE8">
        <w:rPr>
          <w:sz w:val="24"/>
          <w:szCs w:val="24"/>
        </w:rPr>
        <w:t>zmáčadlami</w:t>
      </w:r>
      <w:proofErr w:type="spellEnd"/>
      <w:r w:rsidR="0031128D" w:rsidRPr="006C5AE8">
        <w:rPr>
          <w:sz w:val="24"/>
          <w:szCs w:val="24"/>
        </w:rPr>
        <w:t>, parafínovým olejom</w:t>
      </w:r>
      <w:r w:rsidR="00996215">
        <w:rPr>
          <w:sz w:val="24"/>
          <w:szCs w:val="24"/>
        </w:rPr>
        <w:t>,</w:t>
      </w:r>
      <w:r w:rsidR="0031128D" w:rsidRPr="006C5AE8">
        <w:rPr>
          <w:sz w:val="24"/>
          <w:szCs w:val="24"/>
        </w:rPr>
        <w:t xml:space="preserve"> s insekticídmi a </w:t>
      </w:r>
      <w:proofErr w:type="spellStart"/>
      <w:r w:rsidR="0031128D" w:rsidRPr="006C5AE8">
        <w:rPr>
          <w:sz w:val="24"/>
          <w:szCs w:val="24"/>
        </w:rPr>
        <w:t>fungicídmi</w:t>
      </w:r>
      <w:proofErr w:type="spellEnd"/>
      <w:r w:rsidR="0031128D" w:rsidRPr="006C5AE8">
        <w:rPr>
          <w:sz w:val="24"/>
          <w:szCs w:val="24"/>
        </w:rPr>
        <w:t>.</w:t>
      </w:r>
    </w:p>
    <w:p w14:paraId="4E5640C0" w14:textId="1570BC49" w:rsidR="006D44A8" w:rsidRPr="006C5AE8" w:rsidRDefault="006D44A8" w:rsidP="00D23106">
      <w:pPr>
        <w:tabs>
          <w:tab w:val="left" w:pos="3402"/>
        </w:tabs>
        <w:jc w:val="both"/>
        <w:rPr>
          <w:sz w:val="24"/>
          <w:szCs w:val="24"/>
        </w:rPr>
      </w:pPr>
      <w:r w:rsidRPr="006C5AE8">
        <w:rPr>
          <w:sz w:val="24"/>
          <w:szCs w:val="24"/>
        </w:rPr>
        <w:t>Fyzikálnu kompatibilitu TM kombinácie odporúčame preveriť v malom množstve vody. Zmes ihneď spotrebujte.</w:t>
      </w:r>
    </w:p>
    <w:p w14:paraId="161C524C" w14:textId="6490700B" w:rsidR="00FB1949" w:rsidRPr="006C5AE8" w:rsidRDefault="00FB1949" w:rsidP="00FB1949">
      <w:pPr>
        <w:jc w:val="both"/>
        <w:rPr>
          <w:b/>
          <w:bCs/>
          <w:caps/>
          <w:color w:val="000000"/>
          <w:sz w:val="24"/>
          <w:szCs w:val="24"/>
        </w:rPr>
      </w:pPr>
      <w:bookmarkStart w:id="0" w:name="_GoBack"/>
      <w:bookmarkEnd w:id="0"/>
      <w:r w:rsidRPr="006C5AE8">
        <w:rPr>
          <w:b/>
          <w:bCs/>
          <w:caps/>
          <w:color w:val="000000"/>
          <w:sz w:val="24"/>
          <w:szCs w:val="24"/>
        </w:rPr>
        <w:lastRenderedPageBreak/>
        <w:t>Čistenie aplikačného zariadenia</w:t>
      </w:r>
    </w:p>
    <w:p w14:paraId="578DECB3" w14:textId="20F3EAC1" w:rsidR="00F65D32" w:rsidRPr="006C5AE8" w:rsidRDefault="009364F7" w:rsidP="00FB19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Použité</w:t>
      </w:r>
      <w:r w:rsidR="00FB1949" w:rsidRPr="006C5AE8">
        <w:rPr>
          <w:color w:val="000000"/>
          <w:sz w:val="24"/>
          <w:szCs w:val="24"/>
        </w:rPr>
        <w:t xml:space="preserve"> aplikačné zariadenie, ochranné </w:t>
      </w:r>
      <w:r>
        <w:rPr>
          <w:color w:val="000000"/>
          <w:sz w:val="24"/>
          <w:szCs w:val="24"/>
        </w:rPr>
        <w:t>pracovné prostriedky a pomocné nádoby asanujte</w:t>
      </w:r>
      <w:r w:rsidR="00FB1949" w:rsidRPr="006C5AE8">
        <w:rPr>
          <w:color w:val="000000"/>
          <w:sz w:val="24"/>
          <w:szCs w:val="24"/>
        </w:rPr>
        <w:t xml:space="preserve"> 0,2 % roztok</w:t>
      </w:r>
      <w:r>
        <w:rPr>
          <w:color w:val="000000"/>
          <w:sz w:val="24"/>
          <w:szCs w:val="24"/>
        </w:rPr>
        <w:t xml:space="preserve">om </w:t>
      </w:r>
      <w:proofErr w:type="spellStart"/>
      <w:r>
        <w:rPr>
          <w:color w:val="000000"/>
          <w:sz w:val="24"/>
          <w:szCs w:val="24"/>
        </w:rPr>
        <w:t>AGROPURu</w:t>
      </w:r>
      <w:proofErr w:type="spellEnd"/>
      <w:r>
        <w:rPr>
          <w:color w:val="000000"/>
          <w:sz w:val="24"/>
          <w:szCs w:val="24"/>
        </w:rPr>
        <w:t xml:space="preserve"> a </w:t>
      </w:r>
      <w:r w:rsidR="00BE6E0A" w:rsidRPr="006C5AE8">
        <w:rPr>
          <w:color w:val="000000"/>
          <w:sz w:val="24"/>
          <w:szCs w:val="24"/>
        </w:rPr>
        <w:t>umyte 3x vodou</w:t>
      </w:r>
      <w:r w:rsidR="00FB1949" w:rsidRPr="006C5AE8">
        <w:rPr>
          <w:color w:val="000000"/>
          <w:sz w:val="24"/>
          <w:szCs w:val="24"/>
        </w:rPr>
        <w:t>.</w:t>
      </w:r>
    </w:p>
    <w:p w14:paraId="7ABE669E" w14:textId="77777777" w:rsidR="00FB1949" w:rsidRPr="006C5AE8" w:rsidRDefault="00FB1949" w:rsidP="00185253">
      <w:pPr>
        <w:jc w:val="both"/>
        <w:rPr>
          <w:b/>
          <w:snapToGrid w:val="0"/>
          <w:sz w:val="24"/>
          <w:szCs w:val="24"/>
        </w:rPr>
      </w:pPr>
    </w:p>
    <w:p w14:paraId="7573A232" w14:textId="77777777" w:rsidR="00185253" w:rsidRPr="006C5AE8" w:rsidRDefault="006D44A8" w:rsidP="00185253">
      <w:pPr>
        <w:jc w:val="both"/>
        <w:rPr>
          <w:b/>
          <w:snapToGrid w:val="0"/>
          <w:sz w:val="24"/>
          <w:szCs w:val="24"/>
        </w:rPr>
      </w:pPr>
      <w:r w:rsidRPr="006C5AE8">
        <w:rPr>
          <w:b/>
          <w:snapToGrid w:val="0"/>
          <w:sz w:val="24"/>
          <w:szCs w:val="24"/>
        </w:rPr>
        <w:t>BEZPEČNOSTNÉ OPATRENIA</w:t>
      </w:r>
    </w:p>
    <w:p w14:paraId="70226075" w14:textId="4881A45C" w:rsidR="00F65D32" w:rsidRPr="006C5AE8" w:rsidRDefault="009364F7" w:rsidP="00EE49D6">
      <w:pPr>
        <w:pStyle w:val="Zarkazkladnhotext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práci vonku používajte ochranný pracovný</w:t>
      </w:r>
      <w:r w:rsidR="00F65D32" w:rsidRPr="006C5AE8">
        <w:rPr>
          <w:rFonts w:ascii="Times New Roman" w:hAnsi="Times New Roman" w:cs="Times New Roman"/>
        </w:rPr>
        <w:t xml:space="preserve"> oblek, zásteru z pogum</w:t>
      </w:r>
      <w:r>
        <w:rPr>
          <w:rFonts w:ascii="Times New Roman" w:hAnsi="Times New Roman" w:cs="Times New Roman"/>
        </w:rPr>
        <w:t>ovaného textilu, ochranný štít na</w:t>
      </w:r>
      <w:r w:rsidR="00F65D32" w:rsidRPr="006C5AE8">
        <w:rPr>
          <w:rFonts w:ascii="Times New Roman" w:hAnsi="Times New Roman" w:cs="Times New Roman"/>
        </w:rPr>
        <w:t xml:space="preserve"> tvár alebo ochranné okuliare, respirátor, gumové rukavice </w:t>
      </w:r>
      <w:r>
        <w:rPr>
          <w:rFonts w:ascii="Times New Roman" w:hAnsi="Times New Roman" w:cs="Times New Roman"/>
        </w:rPr>
        <w:t>a gumové topánky. Postrek</w:t>
      </w:r>
      <w:r w:rsidR="00F65D32" w:rsidRPr="006C5AE8">
        <w:rPr>
          <w:rFonts w:ascii="Times New Roman" w:hAnsi="Times New Roman" w:cs="Times New Roman"/>
        </w:rPr>
        <w:t xml:space="preserve"> </w:t>
      </w:r>
      <w:r w:rsidR="006D44A8" w:rsidRPr="006C5AE8">
        <w:rPr>
          <w:rFonts w:ascii="Times New Roman" w:hAnsi="Times New Roman" w:cs="Times New Roman"/>
        </w:rPr>
        <w:t>aplikujte</w:t>
      </w:r>
      <w:r>
        <w:rPr>
          <w:rFonts w:ascii="Times New Roman" w:hAnsi="Times New Roman" w:cs="Times New Roman"/>
        </w:rPr>
        <w:t xml:space="preserve"> len za bezvetria alebo mierneho vánku, a to v smere po vetre od pracujúcich. Postrek</w:t>
      </w:r>
      <w:r w:rsidR="00123D0C">
        <w:rPr>
          <w:rFonts w:ascii="Times New Roman" w:hAnsi="Times New Roman" w:cs="Times New Roman"/>
        </w:rPr>
        <w:t xml:space="preserve"> nesmie </w:t>
      </w:r>
      <w:r>
        <w:rPr>
          <w:rFonts w:ascii="Times New Roman" w:hAnsi="Times New Roman" w:cs="Times New Roman"/>
        </w:rPr>
        <w:t xml:space="preserve">zasiahnuť susedné </w:t>
      </w:r>
      <w:r w:rsidR="00F65D32" w:rsidRPr="006C5AE8">
        <w:rPr>
          <w:rFonts w:ascii="Times New Roman" w:hAnsi="Times New Roman" w:cs="Times New Roman"/>
        </w:rPr>
        <w:t xml:space="preserve">kultúry. </w:t>
      </w:r>
    </w:p>
    <w:p w14:paraId="71DB51ED" w14:textId="77777777" w:rsidR="00F65D32" w:rsidRPr="006C5AE8" w:rsidRDefault="009364F7" w:rsidP="00EE49D6">
      <w:pPr>
        <w:pStyle w:val="Zarkazkladnhotext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 práci a po nej až do </w:t>
      </w:r>
      <w:r w:rsidR="00123D0C">
        <w:rPr>
          <w:rFonts w:ascii="Times New Roman" w:hAnsi="Times New Roman" w:cs="Times New Roman"/>
        </w:rPr>
        <w:t>vyzlečenia ochranného odevu a</w:t>
      </w:r>
      <w:r w:rsidR="00F65D32" w:rsidRPr="006C5AE8">
        <w:rPr>
          <w:rFonts w:ascii="Times New Roman" w:hAnsi="Times New Roman" w:cs="Times New Roman"/>
        </w:rPr>
        <w:t xml:space="preserve"> dôkladného </w:t>
      </w:r>
      <w:r w:rsidR="00123D0C">
        <w:rPr>
          <w:rFonts w:ascii="Times New Roman" w:hAnsi="Times New Roman" w:cs="Times New Roman"/>
        </w:rPr>
        <w:t xml:space="preserve">umytia </w:t>
      </w:r>
      <w:r w:rsidR="00F65D32" w:rsidRPr="006C5AE8">
        <w:rPr>
          <w:rFonts w:ascii="Times New Roman" w:hAnsi="Times New Roman" w:cs="Times New Roman"/>
        </w:rPr>
        <w:t xml:space="preserve">celého </w:t>
      </w:r>
      <w:r w:rsidR="00123D0C">
        <w:rPr>
          <w:rFonts w:ascii="Times New Roman" w:hAnsi="Times New Roman" w:cs="Times New Roman"/>
        </w:rPr>
        <w:t xml:space="preserve">tela teplou vodou </w:t>
      </w:r>
      <w:r w:rsidR="00F65D32" w:rsidRPr="006C5AE8">
        <w:rPr>
          <w:rFonts w:ascii="Times New Roman" w:hAnsi="Times New Roman" w:cs="Times New Roman"/>
        </w:rPr>
        <w:t xml:space="preserve">a </w:t>
      </w:r>
      <w:r w:rsidR="00123D0C">
        <w:rPr>
          <w:rFonts w:ascii="Times New Roman" w:hAnsi="Times New Roman" w:cs="Times New Roman"/>
        </w:rPr>
        <w:t xml:space="preserve">mydlom nie je dovolené piť, jesť a ani </w:t>
      </w:r>
      <w:r w:rsidR="00F65D32" w:rsidRPr="006C5AE8">
        <w:rPr>
          <w:rFonts w:ascii="Times New Roman" w:hAnsi="Times New Roman" w:cs="Times New Roman"/>
        </w:rPr>
        <w:t>fa</w:t>
      </w:r>
      <w:r w:rsidR="00123D0C">
        <w:rPr>
          <w:rFonts w:ascii="Times New Roman" w:hAnsi="Times New Roman" w:cs="Times New Roman"/>
        </w:rPr>
        <w:t>jčiť</w:t>
      </w:r>
      <w:r w:rsidR="00F65D32" w:rsidRPr="006C5AE8">
        <w:rPr>
          <w:rFonts w:ascii="Times New Roman" w:hAnsi="Times New Roman" w:cs="Times New Roman"/>
        </w:rPr>
        <w:t xml:space="preserve">! </w:t>
      </w:r>
    </w:p>
    <w:p w14:paraId="05E2E0D2" w14:textId="77777777" w:rsidR="00F65D32" w:rsidRDefault="00123D0C" w:rsidP="00EE49D6">
      <w:pPr>
        <w:pStyle w:val="Zarkazkladnhotext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umytí</w:t>
      </w:r>
      <w:r w:rsidR="00F65D32" w:rsidRPr="006C5AE8">
        <w:rPr>
          <w:rFonts w:ascii="Times New Roman" w:hAnsi="Times New Roman" w:cs="Times New Roman"/>
        </w:rPr>
        <w:t xml:space="preserve"> ošetrite </w:t>
      </w:r>
      <w:r>
        <w:rPr>
          <w:rFonts w:ascii="Times New Roman" w:hAnsi="Times New Roman" w:cs="Times New Roman"/>
        </w:rPr>
        <w:t>pokožku rúk reparačným krémom</w:t>
      </w:r>
      <w:r w:rsidR="00F65D32" w:rsidRPr="006C5AE8">
        <w:rPr>
          <w:rFonts w:ascii="Times New Roman" w:hAnsi="Times New Roman" w:cs="Times New Roman"/>
        </w:rPr>
        <w:t>.</w:t>
      </w:r>
    </w:p>
    <w:p w14:paraId="63D502E8" w14:textId="77777777" w:rsidR="002823BB" w:rsidRPr="006C5AE8" w:rsidRDefault="002823BB" w:rsidP="00EE49D6">
      <w:pPr>
        <w:pStyle w:val="Zarkazkladnhotextu"/>
        <w:rPr>
          <w:rFonts w:ascii="Times New Roman" w:hAnsi="Times New Roman" w:cs="Times New Roman"/>
        </w:rPr>
      </w:pPr>
    </w:p>
    <w:p w14:paraId="6BD7852B" w14:textId="7FFEBDC0" w:rsidR="006D44A8" w:rsidRPr="006C5AE8" w:rsidRDefault="000B5B0E" w:rsidP="00EE49D6">
      <w:pPr>
        <w:jc w:val="both"/>
        <w:rPr>
          <w:sz w:val="24"/>
          <w:szCs w:val="24"/>
        </w:rPr>
      </w:pPr>
      <w:r w:rsidRPr="006C5AE8">
        <w:rPr>
          <w:b/>
          <w:color w:val="000000"/>
          <w:sz w:val="24"/>
          <w:szCs w:val="24"/>
        </w:rPr>
        <w:t>Prípravok nie je horľavina.</w:t>
      </w:r>
      <w:r w:rsidRPr="006C5AE8">
        <w:rPr>
          <w:sz w:val="24"/>
          <w:szCs w:val="24"/>
        </w:rPr>
        <w:t xml:space="preserve"> </w:t>
      </w:r>
      <w:r w:rsidR="00123D0C">
        <w:rPr>
          <w:sz w:val="24"/>
          <w:szCs w:val="24"/>
        </w:rPr>
        <w:t>Ak sa prípravok dostane do centra</w:t>
      </w:r>
      <w:r w:rsidR="00F65D32" w:rsidRPr="006C5AE8">
        <w:rPr>
          <w:sz w:val="24"/>
          <w:szCs w:val="24"/>
        </w:rPr>
        <w:t xml:space="preserve"> požiaru, haste </w:t>
      </w:r>
      <w:r w:rsidR="00123D0C">
        <w:rPr>
          <w:sz w:val="24"/>
          <w:szCs w:val="24"/>
        </w:rPr>
        <w:t xml:space="preserve">najlepšie hasiacou </w:t>
      </w:r>
      <w:r w:rsidR="00F65D32" w:rsidRPr="006C5AE8">
        <w:rPr>
          <w:sz w:val="24"/>
          <w:szCs w:val="24"/>
        </w:rPr>
        <w:t xml:space="preserve">penou, hasiacim práškom, </w:t>
      </w:r>
      <w:r w:rsidRPr="006C5AE8">
        <w:rPr>
          <w:sz w:val="24"/>
          <w:szCs w:val="24"/>
        </w:rPr>
        <w:t>trieštenou vodou</w:t>
      </w:r>
      <w:r w:rsidR="00996215">
        <w:rPr>
          <w:sz w:val="24"/>
          <w:szCs w:val="24"/>
        </w:rPr>
        <w:t>,</w:t>
      </w:r>
      <w:r w:rsidRPr="006C5AE8">
        <w:rPr>
          <w:sz w:val="24"/>
          <w:szCs w:val="24"/>
        </w:rPr>
        <w:t xml:space="preserve"> vodnou hmlou, </w:t>
      </w:r>
      <w:r w:rsidR="00F65D32" w:rsidRPr="006C5AE8">
        <w:rPr>
          <w:sz w:val="24"/>
          <w:szCs w:val="24"/>
        </w:rPr>
        <w:t>pr</w:t>
      </w:r>
      <w:r w:rsidR="00123D0C">
        <w:rPr>
          <w:sz w:val="24"/>
          <w:szCs w:val="24"/>
        </w:rPr>
        <w:t xml:space="preserve">ípadne pieskom alebo </w:t>
      </w:r>
      <w:r w:rsidRPr="006C5AE8">
        <w:rPr>
          <w:sz w:val="24"/>
          <w:szCs w:val="24"/>
        </w:rPr>
        <w:t>zeminou</w:t>
      </w:r>
      <w:r w:rsidR="00123D0C">
        <w:rPr>
          <w:sz w:val="24"/>
          <w:szCs w:val="24"/>
        </w:rPr>
        <w:t>. Vodu použite len vo forme jemného zahmlievania, a to len v takých prípadoch, ak je zaručené</w:t>
      </w:r>
      <w:r w:rsidR="00F65D32" w:rsidRPr="006C5AE8">
        <w:rPr>
          <w:sz w:val="24"/>
          <w:szCs w:val="24"/>
        </w:rPr>
        <w:t xml:space="preserve">, že </w:t>
      </w:r>
      <w:r w:rsidR="00123D0C">
        <w:rPr>
          <w:sz w:val="24"/>
          <w:szCs w:val="24"/>
        </w:rPr>
        <w:t xml:space="preserve">kontaminovaná voda neprenikne do verejnej kanalizácie a nezasiahne zdroje podzemných a </w:t>
      </w:r>
      <w:r w:rsidR="00F65D32" w:rsidRPr="006C5AE8">
        <w:rPr>
          <w:sz w:val="24"/>
          <w:szCs w:val="24"/>
        </w:rPr>
        <w:t>an</w:t>
      </w:r>
      <w:r w:rsidR="00123D0C">
        <w:rPr>
          <w:sz w:val="24"/>
          <w:szCs w:val="24"/>
        </w:rPr>
        <w:t xml:space="preserve">i recipienty povrchových </w:t>
      </w:r>
      <w:r w:rsidRPr="006C5AE8">
        <w:rPr>
          <w:sz w:val="24"/>
          <w:szCs w:val="24"/>
        </w:rPr>
        <w:t>vôd</w:t>
      </w:r>
      <w:r w:rsidR="00F65D32" w:rsidRPr="006C5AE8">
        <w:rPr>
          <w:sz w:val="24"/>
          <w:szCs w:val="24"/>
        </w:rPr>
        <w:t xml:space="preserve">. </w:t>
      </w:r>
      <w:r w:rsidRPr="006C5AE8">
        <w:rPr>
          <w:sz w:val="24"/>
          <w:szCs w:val="24"/>
        </w:rPr>
        <w:t xml:space="preserve">Pri tepelnom rozklade alebo nedokonalom spaľovaní </w:t>
      </w:r>
      <w:r w:rsidR="00996215">
        <w:rPr>
          <w:sz w:val="24"/>
          <w:szCs w:val="24"/>
        </w:rPr>
        <w:t xml:space="preserve">možný </w:t>
      </w:r>
      <w:r w:rsidRPr="006C5AE8">
        <w:rPr>
          <w:sz w:val="24"/>
          <w:szCs w:val="24"/>
        </w:rPr>
        <w:t xml:space="preserve">vznik toxických, dráždivých a </w:t>
      </w:r>
      <w:r w:rsidR="00123D0C">
        <w:rPr>
          <w:sz w:val="24"/>
          <w:szCs w:val="24"/>
        </w:rPr>
        <w:t>horľavých rozkladných produktov</w:t>
      </w:r>
      <w:r w:rsidRPr="006C5AE8">
        <w:rPr>
          <w:sz w:val="24"/>
          <w:szCs w:val="24"/>
        </w:rPr>
        <w:t xml:space="preserve"> (chlorovodík). </w:t>
      </w:r>
    </w:p>
    <w:p w14:paraId="461CBB41" w14:textId="77777777" w:rsidR="00F65D32" w:rsidRPr="006C5AE8" w:rsidRDefault="000B5B0E" w:rsidP="00EE49D6">
      <w:pPr>
        <w:jc w:val="both"/>
        <w:rPr>
          <w:b/>
          <w:sz w:val="24"/>
          <w:szCs w:val="24"/>
        </w:rPr>
      </w:pPr>
      <w:r w:rsidRPr="006C5AE8">
        <w:rPr>
          <w:b/>
          <w:sz w:val="24"/>
          <w:szCs w:val="24"/>
        </w:rPr>
        <w:t xml:space="preserve">Používajte izolačné dýchacie prístroje a nepriepustný protichemický odev. </w:t>
      </w:r>
    </w:p>
    <w:p w14:paraId="2384BF01" w14:textId="77777777" w:rsidR="002823BB" w:rsidRPr="006C5AE8" w:rsidRDefault="002823BB" w:rsidP="00EE49D6">
      <w:pPr>
        <w:jc w:val="both"/>
        <w:rPr>
          <w:b/>
          <w:sz w:val="24"/>
          <w:szCs w:val="24"/>
        </w:rPr>
      </w:pPr>
    </w:p>
    <w:p w14:paraId="16EA4454" w14:textId="77777777" w:rsidR="00F65D32" w:rsidRPr="006C5AE8" w:rsidRDefault="00985A16" w:rsidP="00EE49D6">
      <w:pPr>
        <w:jc w:val="both"/>
        <w:rPr>
          <w:b/>
          <w:bCs/>
          <w:color w:val="000000"/>
          <w:sz w:val="24"/>
          <w:szCs w:val="24"/>
        </w:rPr>
      </w:pPr>
      <w:r w:rsidRPr="006C5AE8">
        <w:rPr>
          <w:b/>
          <w:sz w:val="24"/>
          <w:szCs w:val="24"/>
        </w:rPr>
        <w:t>PRVÁ POMOC</w:t>
      </w:r>
    </w:p>
    <w:tbl>
      <w:tblPr>
        <w:tblW w:w="963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60"/>
        <w:gridCol w:w="6578"/>
      </w:tblGrid>
      <w:tr w:rsidR="000B5B0E" w:rsidRPr="006C5AE8" w14:paraId="6535EA18" w14:textId="77777777" w:rsidTr="006A2486">
        <w:trPr>
          <w:trHeight w:val="583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4C1106" w14:textId="308B4ABE" w:rsidR="000B5B0E" w:rsidRPr="006C5AE8" w:rsidRDefault="000B5B0E" w:rsidP="007A33AB">
            <w:pPr>
              <w:pStyle w:val="Obyajntext"/>
              <w:spacing w:before="120"/>
              <w:jc w:val="both"/>
            </w:pPr>
            <w:r w:rsidRPr="006C5AE8">
              <w:t>Dodržujte bezpečnostné pokyny v návode na použitie uvedené na obale. V prípade nehody a</w:t>
            </w:r>
            <w:r w:rsidR="00123D0C">
              <w:t> </w:t>
            </w:r>
            <w:r w:rsidRPr="006C5AE8">
              <w:t>pri</w:t>
            </w:r>
            <w:r w:rsidR="00123D0C">
              <w:t> </w:t>
            </w:r>
            <w:r w:rsidRPr="006C5AE8">
              <w:t>výskyte akýchkoľvek zdravotných ťažkostí alebo v prípade neistoty však kontaktujte lekára a poskytnite mu údaje z tejto bezpečnostnej karty.</w:t>
            </w:r>
            <w:r w:rsidR="00996215">
              <w:t xml:space="preserve"> </w:t>
            </w:r>
            <w:r w:rsidRPr="006C5AE8">
              <w:t>Pri bezvedomí uložte postihnutého do</w:t>
            </w:r>
            <w:r w:rsidR="00123D0C">
              <w:t> </w:t>
            </w:r>
            <w:r w:rsidRPr="006C5AE8">
              <w:t>stabilizovanej polohy a sleduje dýchanie. Nikdy nepodávajte osobám v bezvedomí žiadne tekutiny. Príznaky otravy môžu byť oneskorené, zabezpečte lekársky dozor po dobu min. 48 hodín po expozícii.</w:t>
            </w:r>
          </w:p>
        </w:tc>
      </w:tr>
      <w:tr w:rsidR="000B5B0E" w:rsidRPr="006C5AE8" w14:paraId="07E58CCB" w14:textId="77777777" w:rsidTr="00CF2B71">
        <w:trPr>
          <w:trHeight w:val="122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0628F88" w14:textId="77777777" w:rsidR="000B5B0E" w:rsidRPr="006C5AE8" w:rsidRDefault="000B5B0E" w:rsidP="0023169C">
            <w:pPr>
              <w:pStyle w:val="Obyajntext"/>
              <w:rPr>
                <w:i/>
              </w:rPr>
            </w:pPr>
            <w:r w:rsidRPr="006C5AE8">
              <w:rPr>
                <w:i/>
              </w:rPr>
              <w:t xml:space="preserve">Pri nadýchaní: 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14:paraId="40293510" w14:textId="77777777" w:rsidR="000B5B0E" w:rsidRPr="006C5AE8" w:rsidRDefault="000B5B0E" w:rsidP="00123D0C">
            <w:pPr>
              <w:pStyle w:val="Obyajntext"/>
              <w:jc w:val="both"/>
            </w:pPr>
            <w:r w:rsidRPr="006C5AE8">
              <w:t>Pri nadýchaní aerosólov postihnutého ihneď odveďte na čerstvý vzduch, pokiaľ postihnutý nedýcha, zabezpečte umelé dýchanie až do príchodu lekárskej pomoci! Pri pretrvávajúcich ťažkostiach vyhľadajte lekára. Pri</w:t>
            </w:r>
            <w:r w:rsidR="00123D0C">
              <w:t> </w:t>
            </w:r>
            <w:r w:rsidRPr="006C5AE8">
              <w:t>vdýchnutí kvapalného prípravku vyhľadajte pomoc lekára okamžite.</w:t>
            </w:r>
          </w:p>
        </w:tc>
      </w:tr>
      <w:tr w:rsidR="000B5B0E" w:rsidRPr="006C5AE8" w14:paraId="3E1AF7B6" w14:textId="77777777" w:rsidTr="00CF2B71">
        <w:trPr>
          <w:trHeight w:val="95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C570364" w14:textId="77777777" w:rsidR="000B5B0E" w:rsidRPr="006C5AE8" w:rsidRDefault="000B5B0E" w:rsidP="0023169C">
            <w:pPr>
              <w:pStyle w:val="Obyajntext"/>
              <w:rPr>
                <w:i/>
              </w:rPr>
            </w:pPr>
            <w:r w:rsidRPr="006C5AE8">
              <w:rPr>
                <w:i/>
              </w:rPr>
              <w:t xml:space="preserve">Pri styku s pokožkou:  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14:paraId="0129DD49" w14:textId="77777777" w:rsidR="000B5B0E" w:rsidRPr="006C5AE8" w:rsidRDefault="000B5B0E" w:rsidP="00123D0C">
            <w:pPr>
              <w:pStyle w:val="Obyajntext"/>
              <w:jc w:val="both"/>
            </w:pPr>
            <w:r w:rsidRPr="006C5AE8">
              <w:t>Zasiahnutý odev odstráňte, postihnuté miesto ihneď umyte vodou a</w:t>
            </w:r>
            <w:r w:rsidR="00123D0C">
              <w:t> </w:t>
            </w:r>
            <w:r w:rsidRPr="006C5AE8">
              <w:t>mydlom, dobre opláchnite. Umyté miesta pokožky natrite reparačným krémom. Pri pretrvávajúcom dráždení pokožky vyhľadajte lekára.</w:t>
            </w:r>
          </w:p>
        </w:tc>
      </w:tr>
      <w:tr w:rsidR="000B5B0E" w:rsidRPr="006C5AE8" w14:paraId="3960ADCA" w14:textId="77777777" w:rsidTr="00CF2B71">
        <w:trPr>
          <w:trHeight w:val="95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B9DD1D1" w14:textId="77777777" w:rsidR="000B5B0E" w:rsidRPr="006C5AE8" w:rsidRDefault="000B5B0E" w:rsidP="0023169C">
            <w:pPr>
              <w:pStyle w:val="Obyajntext"/>
              <w:rPr>
                <w:i/>
              </w:rPr>
            </w:pPr>
            <w:r w:rsidRPr="006C5AE8">
              <w:rPr>
                <w:i/>
              </w:rPr>
              <w:t xml:space="preserve">Pri zasiahnutí očí: 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14:paraId="608715EA" w14:textId="77777777" w:rsidR="000B5B0E" w:rsidRPr="006C5AE8" w:rsidRDefault="000B5B0E" w:rsidP="000B5B0E">
            <w:pPr>
              <w:pStyle w:val="Obyajntext"/>
              <w:jc w:val="both"/>
            </w:pPr>
            <w:r w:rsidRPr="006C5AE8">
              <w:t>Pri na silu otvorených viečkach vyplachujte ihneď oči veľkým množstvom vody po dobu 10 – 15 minút. Ak má postihnutý očné šošovky, je potrebné ich najskôr odstrániť. Pri pretrvávajúcom dráždení oka vyhľadajte lekára.</w:t>
            </w:r>
          </w:p>
        </w:tc>
      </w:tr>
      <w:tr w:rsidR="000B5B0E" w:rsidRPr="006C5AE8" w14:paraId="28366AB2" w14:textId="77777777" w:rsidTr="00CF2B71">
        <w:trPr>
          <w:trHeight w:val="95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CF7FAEB" w14:textId="77777777" w:rsidR="000B5B0E" w:rsidRPr="006C5AE8" w:rsidRDefault="000B5B0E" w:rsidP="0023169C">
            <w:pPr>
              <w:pStyle w:val="Obyajntext"/>
              <w:rPr>
                <w:i/>
              </w:rPr>
            </w:pPr>
            <w:r w:rsidRPr="006C5AE8">
              <w:rPr>
                <w:bCs/>
                <w:i/>
              </w:rPr>
              <w:t xml:space="preserve">Po požití: 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 w14:paraId="6061EFB9" w14:textId="0983AB52" w:rsidR="000B5B0E" w:rsidRPr="006C5AE8" w:rsidRDefault="000B5B0E" w:rsidP="00CF2B71">
            <w:pPr>
              <w:pStyle w:val="Obyajntext"/>
              <w:jc w:val="both"/>
            </w:pPr>
            <w:r w:rsidRPr="006C5AE8">
              <w:t xml:space="preserve">Ústa vypláchnite vodou, postihnutého nechajte vypiť väčšie množstvo vody. </w:t>
            </w:r>
            <w:r w:rsidRPr="006C5AE8">
              <w:rPr>
                <w:b/>
              </w:rPr>
              <w:t>Nevyvolávajte zvracanie!</w:t>
            </w:r>
            <w:r w:rsidRPr="006C5AE8">
              <w:t xml:space="preserve"> V prípade zvracania zabráňte vdýchnutiu zvratkov. Ihneď vyhľadajte lekársku pomoc a</w:t>
            </w:r>
            <w:r w:rsidR="00CF2B71">
              <w:t> </w:t>
            </w:r>
            <w:r w:rsidRPr="006C5AE8">
              <w:t>ukážte tento obal alebo označenie.</w:t>
            </w:r>
          </w:p>
        </w:tc>
      </w:tr>
    </w:tbl>
    <w:p w14:paraId="016456B9" w14:textId="77777777" w:rsidR="006A2486" w:rsidRDefault="006A2486" w:rsidP="006A2486">
      <w:pPr>
        <w:pStyle w:val="Obyajntext"/>
        <w:spacing w:after="0"/>
        <w:rPr>
          <w:b/>
        </w:rPr>
      </w:pPr>
      <w:r w:rsidRPr="006C5AE8">
        <w:rPr>
          <w:b/>
        </w:rPr>
        <w:t>Najdôležitejšie príznaky a účinky, akútne aj oneskorené</w:t>
      </w:r>
    </w:p>
    <w:p w14:paraId="5BBD89B8" w14:textId="015FAC2F" w:rsidR="006A2486" w:rsidRDefault="006A2486" w:rsidP="00CF2B71">
      <w:pPr>
        <w:pStyle w:val="Obyajntext"/>
        <w:spacing w:after="0"/>
        <w:jc w:val="both"/>
      </w:pPr>
      <w:r w:rsidRPr="006C5AE8">
        <w:t>Dlhodobý alebo opakovaný kontakt s pokožkou môže spôsobiť jej podráždenie. Pri priamom kontakte s okom môže spôsobiť podráždenie</w:t>
      </w:r>
    </w:p>
    <w:p w14:paraId="20606AB8" w14:textId="394D762F" w:rsidR="006A2486" w:rsidRDefault="006A2486" w:rsidP="00CF2B71">
      <w:pPr>
        <w:pStyle w:val="Obyajntext"/>
        <w:spacing w:after="0"/>
        <w:jc w:val="both"/>
        <w:rPr>
          <w:b/>
        </w:rPr>
      </w:pPr>
      <w:r w:rsidRPr="006C5AE8">
        <w:rPr>
          <w:b/>
        </w:rPr>
        <w:lastRenderedPageBreak/>
        <w:t>Údaj o akejkoľvek potrebe okamžitej lekárskej starostlivosti a osobitného ošetrenia</w:t>
      </w:r>
    </w:p>
    <w:p w14:paraId="1F438952" w14:textId="740C3233" w:rsidR="006A2486" w:rsidRDefault="006A2486" w:rsidP="00CF2B71">
      <w:pPr>
        <w:pStyle w:val="Obyajntext"/>
        <w:spacing w:after="0"/>
        <w:jc w:val="both"/>
      </w:pPr>
      <w:r w:rsidRPr="006C5AE8">
        <w:rPr>
          <w:bCs/>
        </w:rPr>
        <w:t xml:space="preserve">Nie je známa žiadna špecifická terapia. Použite podpornú a symptomatickú liečbu. Postupujte opatrne pri zvracaní a výplachu žalúdka. </w:t>
      </w:r>
      <w:r w:rsidRPr="006C5AE8">
        <w:t>Príznaky otravy môžu byť oneskorené, zabezpečte lekársky dozor po dobu min. 48 hodín po expozícii.</w:t>
      </w:r>
    </w:p>
    <w:p w14:paraId="2FD0698D" w14:textId="2F70652A" w:rsidR="006A2486" w:rsidRPr="006C5AE8" w:rsidRDefault="006A2486" w:rsidP="006A2486">
      <w:pPr>
        <w:jc w:val="both"/>
        <w:rPr>
          <w:color w:val="000000"/>
          <w:sz w:val="24"/>
          <w:szCs w:val="24"/>
        </w:rPr>
      </w:pPr>
      <w:r w:rsidRPr="006C5AE8">
        <w:rPr>
          <w:color w:val="000000"/>
          <w:sz w:val="24"/>
          <w:szCs w:val="24"/>
        </w:rPr>
        <w:t>Le</w:t>
      </w:r>
      <w:r>
        <w:rPr>
          <w:color w:val="000000"/>
          <w:sz w:val="24"/>
          <w:szCs w:val="24"/>
        </w:rPr>
        <w:t xml:space="preserve">kár môže liečbu konzultovať </w:t>
      </w:r>
      <w:r w:rsidRPr="006C5AE8">
        <w:rPr>
          <w:color w:val="000000"/>
          <w:sz w:val="24"/>
          <w:szCs w:val="24"/>
        </w:rPr>
        <w:t>s Národným informačným t</w:t>
      </w:r>
      <w:r>
        <w:rPr>
          <w:color w:val="000000"/>
          <w:sz w:val="24"/>
          <w:szCs w:val="24"/>
        </w:rPr>
        <w:t>oxikologickým</w:t>
      </w:r>
      <w:r w:rsidRPr="006C5AE8">
        <w:rPr>
          <w:color w:val="000000"/>
          <w:sz w:val="24"/>
          <w:szCs w:val="24"/>
        </w:rPr>
        <w:t xml:space="preserve"> centro</w:t>
      </w:r>
      <w:r>
        <w:rPr>
          <w:color w:val="000000"/>
          <w:sz w:val="24"/>
          <w:szCs w:val="24"/>
        </w:rPr>
        <w:t xml:space="preserve">m v Bratislave, </w:t>
      </w:r>
      <w:proofErr w:type="spellStart"/>
      <w:r w:rsidR="00CF2B71">
        <w:rPr>
          <w:color w:val="000000"/>
          <w:sz w:val="24"/>
          <w:szCs w:val="24"/>
        </w:rPr>
        <w:t>tel.č</w:t>
      </w:r>
      <w:proofErr w:type="spellEnd"/>
      <w:r w:rsidR="00CF2B7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+421-2-</w:t>
      </w:r>
      <w:r w:rsidRPr="006C5AE8">
        <w:rPr>
          <w:color w:val="000000"/>
          <w:sz w:val="24"/>
          <w:szCs w:val="24"/>
        </w:rPr>
        <w:t>5477 4166.</w:t>
      </w:r>
    </w:p>
    <w:p w14:paraId="12EECD4F" w14:textId="77777777" w:rsidR="006A2486" w:rsidRPr="006A2486" w:rsidRDefault="006A2486" w:rsidP="006A2486">
      <w:pPr>
        <w:pStyle w:val="Obyajntext"/>
        <w:spacing w:after="0"/>
        <w:rPr>
          <w:b/>
        </w:rPr>
      </w:pPr>
    </w:p>
    <w:p w14:paraId="524B37E7" w14:textId="77777777" w:rsidR="00F65D32" w:rsidRPr="006C5AE8" w:rsidRDefault="00F65D32" w:rsidP="00EE49D6">
      <w:pPr>
        <w:jc w:val="both"/>
        <w:rPr>
          <w:caps/>
          <w:color w:val="000000"/>
          <w:sz w:val="24"/>
          <w:szCs w:val="24"/>
        </w:rPr>
      </w:pPr>
      <w:r w:rsidRPr="006C5AE8">
        <w:rPr>
          <w:b/>
          <w:bCs/>
          <w:caps/>
          <w:color w:val="000000"/>
          <w:sz w:val="24"/>
          <w:szCs w:val="24"/>
        </w:rPr>
        <w:t>Skladovanie</w:t>
      </w:r>
    </w:p>
    <w:p w14:paraId="2AAC686B" w14:textId="79F53C66" w:rsidR="00123D0C" w:rsidRPr="00D802B4" w:rsidRDefault="00123D0C" w:rsidP="00123D0C">
      <w:pPr>
        <w:jc w:val="both"/>
        <w:rPr>
          <w:sz w:val="24"/>
          <w:szCs w:val="24"/>
        </w:rPr>
      </w:pPr>
      <w:r w:rsidRPr="006C5AE8">
        <w:rPr>
          <w:color w:val="000000"/>
          <w:sz w:val="24"/>
          <w:szCs w:val="24"/>
        </w:rPr>
        <w:t>FLOWBRIX</w:t>
      </w:r>
      <w:r w:rsidRPr="00E23237">
        <w:rPr>
          <w:sz w:val="24"/>
          <w:szCs w:val="24"/>
          <w:vertAlign w:val="superscript"/>
        </w:rPr>
        <w:t>®</w:t>
      </w:r>
      <w:r w:rsidRPr="006C5AE8">
        <w:rPr>
          <w:sz w:val="24"/>
          <w:szCs w:val="24"/>
        </w:rPr>
        <w:t xml:space="preserve"> </w:t>
      </w:r>
      <w:r w:rsidR="00F65D32" w:rsidRPr="006C5AE8">
        <w:rPr>
          <w:sz w:val="24"/>
          <w:szCs w:val="24"/>
        </w:rPr>
        <w:t>sklad</w:t>
      </w:r>
      <w:r w:rsidR="00351F1C" w:rsidRPr="006C5AE8">
        <w:rPr>
          <w:sz w:val="24"/>
          <w:szCs w:val="24"/>
        </w:rPr>
        <w:t>ujte</w:t>
      </w:r>
      <w:r w:rsidR="0081525E" w:rsidRPr="006C5AE8">
        <w:rPr>
          <w:sz w:val="24"/>
          <w:szCs w:val="24"/>
        </w:rPr>
        <w:t xml:space="preserve"> </w:t>
      </w:r>
      <w:r w:rsidR="00F65D32" w:rsidRPr="006C5AE8">
        <w:rPr>
          <w:sz w:val="24"/>
          <w:szCs w:val="24"/>
        </w:rPr>
        <w:t>v originálnych, uzavretých obaloch,</w:t>
      </w:r>
      <w:r w:rsidR="00F65D32" w:rsidRPr="006C5AE8">
        <w:rPr>
          <w:color w:val="FF0000"/>
          <w:sz w:val="24"/>
          <w:szCs w:val="24"/>
        </w:rPr>
        <w:t xml:space="preserve"> </w:t>
      </w:r>
      <w:r w:rsidR="00F65D32" w:rsidRPr="006C5AE8">
        <w:rPr>
          <w:sz w:val="24"/>
          <w:szCs w:val="24"/>
        </w:rPr>
        <w:t>na chladnom, suchom, uzamykateľnom</w:t>
      </w:r>
      <w:r w:rsidR="00F65D32" w:rsidRPr="006C5AE8">
        <w:rPr>
          <w:color w:val="FF0000"/>
          <w:sz w:val="24"/>
          <w:szCs w:val="24"/>
        </w:rPr>
        <w:t xml:space="preserve"> </w:t>
      </w:r>
      <w:r w:rsidR="00F65D32" w:rsidRPr="006C5AE8">
        <w:rPr>
          <w:sz w:val="24"/>
          <w:szCs w:val="24"/>
        </w:rPr>
        <w:t>a dobre vetrateľnom</w:t>
      </w:r>
      <w:r w:rsidR="00F65D32" w:rsidRPr="006C5AE8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mieste, oddelene od </w:t>
      </w:r>
      <w:r w:rsidR="005A1F7A" w:rsidRPr="006C5AE8">
        <w:rPr>
          <w:sz w:val="24"/>
          <w:szCs w:val="24"/>
        </w:rPr>
        <w:t>potravín</w:t>
      </w:r>
      <w:r>
        <w:rPr>
          <w:sz w:val="24"/>
          <w:szCs w:val="24"/>
        </w:rPr>
        <w:t>, krmív, hnojív, dezinfekčných prostriedkov a</w:t>
      </w:r>
      <w:r w:rsidR="002823BB">
        <w:rPr>
          <w:sz w:val="24"/>
          <w:szCs w:val="24"/>
        </w:rPr>
        <w:t> </w:t>
      </w:r>
      <w:r>
        <w:rPr>
          <w:sz w:val="24"/>
          <w:szCs w:val="24"/>
        </w:rPr>
        <w:t xml:space="preserve">obalov </w:t>
      </w:r>
      <w:r w:rsidR="00F65D32" w:rsidRPr="006C5AE8">
        <w:rPr>
          <w:sz w:val="24"/>
          <w:szCs w:val="24"/>
        </w:rPr>
        <w:t>od</w:t>
      </w:r>
      <w:r w:rsidR="00F65D32" w:rsidRPr="006C5AE8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týchto látok pri </w:t>
      </w:r>
      <w:r w:rsidR="00F65D32" w:rsidRPr="006C5AE8">
        <w:rPr>
          <w:sz w:val="24"/>
          <w:szCs w:val="24"/>
        </w:rPr>
        <w:t xml:space="preserve">teplote </w:t>
      </w:r>
      <w:r w:rsidR="000B5B0E" w:rsidRPr="006C5AE8">
        <w:rPr>
          <w:sz w:val="24"/>
          <w:szCs w:val="24"/>
        </w:rPr>
        <w:t xml:space="preserve">+ 5 až </w:t>
      </w:r>
      <w:r w:rsidR="00E12C92">
        <w:rPr>
          <w:sz w:val="24"/>
          <w:szCs w:val="24"/>
        </w:rPr>
        <w:t>+</w:t>
      </w:r>
      <w:r w:rsidR="000B5B0E" w:rsidRPr="006C5AE8">
        <w:rPr>
          <w:sz w:val="24"/>
          <w:szCs w:val="24"/>
        </w:rPr>
        <w:t>30</w:t>
      </w:r>
      <w:r w:rsidR="00F65D32" w:rsidRPr="006C5AE8">
        <w:rPr>
          <w:sz w:val="24"/>
          <w:szCs w:val="24"/>
        </w:rPr>
        <w:t>°C.</w:t>
      </w:r>
      <w:r w:rsidR="000B5B0E" w:rsidRPr="006C5AE8">
        <w:rPr>
          <w:sz w:val="24"/>
          <w:szCs w:val="24"/>
        </w:rPr>
        <w:t xml:space="preserve"> Neuchovávajte v kovových nádobách.</w:t>
      </w:r>
      <w:r w:rsidR="000B5B0E" w:rsidRPr="006C5AE8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Prípravok chráňte</w:t>
      </w:r>
      <w:r w:rsidR="00F65D32" w:rsidRPr="006C5AE8">
        <w:rPr>
          <w:sz w:val="24"/>
          <w:szCs w:val="24"/>
        </w:rPr>
        <w:t xml:space="preserve"> pred </w:t>
      </w:r>
      <w:r>
        <w:rPr>
          <w:sz w:val="24"/>
          <w:szCs w:val="24"/>
        </w:rPr>
        <w:t>mrazom a priamym slnečným</w:t>
      </w:r>
      <w:r w:rsidR="00F65D32" w:rsidRPr="006C5AE8">
        <w:rPr>
          <w:sz w:val="24"/>
          <w:szCs w:val="24"/>
        </w:rPr>
        <w:t xml:space="preserve"> žiarením.</w:t>
      </w:r>
      <w:r w:rsidR="000B5B0E" w:rsidRPr="006C5AE8">
        <w:rPr>
          <w:color w:val="000000"/>
          <w:sz w:val="24"/>
          <w:szCs w:val="24"/>
        </w:rPr>
        <w:t xml:space="preserve"> </w:t>
      </w:r>
      <w:r w:rsidR="000B5B0E" w:rsidRPr="006C5AE8">
        <w:rPr>
          <w:sz w:val="24"/>
          <w:szCs w:val="24"/>
        </w:rPr>
        <w:t>Uchovávajte mimo dosahu detí.</w:t>
      </w:r>
      <w:r w:rsidR="00D23106" w:rsidRPr="006C5AE8">
        <w:rPr>
          <w:sz w:val="24"/>
          <w:szCs w:val="24"/>
        </w:rPr>
        <w:t xml:space="preserve"> </w:t>
      </w:r>
      <w:r w:rsidRPr="00D802B4">
        <w:rPr>
          <w:sz w:val="24"/>
          <w:szCs w:val="24"/>
        </w:rPr>
        <w:t>Doba skladovateľnosti v originálnych neporušených obaloch je 2 roky od dátumu výroby.</w:t>
      </w:r>
    </w:p>
    <w:p w14:paraId="332E9FFF" w14:textId="77777777" w:rsidR="00D23106" w:rsidRPr="006C5AE8" w:rsidRDefault="00D23106" w:rsidP="00D23106">
      <w:pPr>
        <w:pStyle w:val="Zkladntext"/>
        <w:jc w:val="both"/>
        <w:rPr>
          <w:rFonts w:ascii="Times New Roman" w:hAnsi="Times New Roman"/>
        </w:rPr>
      </w:pPr>
    </w:p>
    <w:p w14:paraId="1EBCCC49" w14:textId="77777777" w:rsidR="00D23106" w:rsidRPr="006C5AE8" w:rsidRDefault="006D44A8" w:rsidP="00D23106">
      <w:pPr>
        <w:pStyle w:val="Zkladntext"/>
        <w:rPr>
          <w:rFonts w:ascii="Times New Roman" w:hAnsi="Times New Roman"/>
          <w:b/>
          <w:caps/>
        </w:rPr>
      </w:pPr>
      <w:r w:rsidRPr="006C5AE8">
        <w:rPr>
          <w:rFonts w:ascii="Times New Roman" w:hAnsi="Times New Roman"/>
          <w:b/>
          <w:caps/>
        </w:rPr>
        <w:t>Zneškodnenie zvyškov</w:t>
      </w:r>
    </w:p>
    <w:p w14:paraId="4BF5CD68" w14:textId="77777777" w:rsidR="00D23106" w:rsidRPr="006C5AE8" w:rsidRDefault="00D23106" w:rsidP="00D23106">
      <w:pPr>
        <w:pStyle w:val="Zkladntext"/>
        <w:jc w:val="both"/>
        <w:rPr>
          <w:rFonts w:ascii="Times New Roman" w:hAnsi="Times New Roman"/>
        </w:rPr>
      </w:pPr>
      <w:r w:rsidRPr="006C5AE8">
        <w:rPr>
          <w:rFonts w:ascii="Times New Roman" w:hAnsi="Times New Roman"/>
        </w:rPr>
        <w:t>Nepoužité zvyšky prípravku v pôvodnom obale  zneškodnite ako nebe</w:t>
      </w:r>
      <w:r w:rsidR="006938D4" w:rsidRPr="006C5AE8">
        <w:rPr>
          <w:rFonts w:ascii="Times New Roman" w:hAnsi="Times New Roman"/>
        </w:rPr>
        <w:t>zpečný odpad. Technologický zvyšok postrekovej kvapaliny po zriedení vystriekajte na neošetrenej ploche, nesmú však zasiahnuť zdroje podzemných ani recipienty povrchových vôd alebo zneškodnite ako nebezpečný odpad.</w:t>
      </w:r>
    </w:p>
    <w:p w14:paraId="2FD5F429" w14:textId="7DDD70FE" w:rsidR="00D23106" w:rsidRPr="006C5AE8" w:rsidRDefault="00D23106" w:rsidP="00D23106">
      <w:pPr>
        <w:pStyle w:val="Zkladntext"/>
        <w:jc w:val="both"/>
        <w:rPr>
          <w:rFonts w:ascii="Times New Roman" w:hAnsi="Times New Roman"/>
        </w:rPr>
      </w:pPr>
      <w:r w:rsidRPr="006C5AE8">
        <w:rPr>
          <w:rFonts w:ascii="Times New Roman" w:hAnsi="Times New Roman"/>
        </w:rPr>
        <w:t xml:space="preserve">Nepoužité zvyšky postrekovej kvapaliny </w:t>
      </w:r>
      <w:r w:rsidR="006938D4" w:rsidRPr="006C5AE8">
        <w:rPr>
          <w:rFonts w:ascii="Times New Roman" w:hAnsi="Times New Roman"/>
        </w:rPr>
        <w:t xml:space="preserve">v objeme väčšom ako technologický zvyšok </w:t>
      </w:r>
      <w:r w:rsidR="00500CDE" w:rsidRPr="006C5AE8">
        <w:rPr>
          <w:rFonts w:ascii="Times New Roman" w:hAnsi="Times New Roman"/>
        </w:rPr>
        <w:t xml:space="preserve">(uvedené v technických parametroch mechanizačného prostriedku) </w:t>
      </w:r>
      <w:r w:rsidRPr="006C5AE8">
        <w:rPr>
          <w:rFonts w:ascii="Times New Roman" w:hAnsi="Times New Roman"/>
        </w:rPr>
        <w:t>zneškodnite ako nebezpečný odpad</w:t>
      </w:r>
      <w:r w:rsidR="00500CDE" w:rsidRPr="006C5AE8">
        <w:rPr>
          <w:rFonts w:ascii="Times New Roman" w:hAnsi="Times New Roman"/>
        </w:rPr>
        <w:t xml:space="preserve"> v súlade  s platnou legislatívou o odpadoch.</w:t>
      </w:r>
    </w:p>
    <w:p w14:paraId="0E0C3DEF" w14:textId="77777777" w:rsidR="00DF0E4B" w:rsidRPr="006C5AE8" w:rsidRDefault="00DF0E4B" w:rsidP="00EE49D6">
      <w:pPr>
        <w:jc w:val="both"/>
        <w:rPr>
          <w:color w:val="000000"/>
          <w:sz w:val="24"/>
          <w:szCs w:val="24"/>
        </w:rPr>
      </w:pPr>
    </w:p>
    <w:sectPr w:rsidR="00DF0E4B" w:rsidRPr="006C5AE8" w:rsidSect="00270994">
      <w:headerReference w:type="default" r:id="rId11"/>
      <w:footerReference w:type="default" r:id="rId12"/>
      <w:pgSz w:w="11906" w:h="16838"/>
      <w:pgMar w:top="1418" w:right="1134" w:bottom="1418" w:left="1134" w:header="709" w:footer="862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440DC" w14:textId="77777777" w:rsidR="00AD7E14" w:rsidRDefault="00AD7E14" w:rsidP="00F81E60">
      <w:r>
        <w:separator/>
      </w:r>
    </w:p>
  </w:endnote>
  <w:endnote w:type="continuationSeparator" w:id="0">
    <w:p w14:paraId="65DC874A" w14:textId="77777777" w:rsidR="00AD7E14" w:rsidRDefault="00AD7E14" w:rsidP="00F8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icrosoft JhengHei 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A046C" w14:textId="1C016507" w:rsidR="008314B7" w:rsidRPr="006A2486" w:rsidRDefault="008314B7">
    <w:pPr>
      <w:pStyle w:val="Pta"/>
      <w:framePr w:wrap="auto" w:vAnchor="text" w:hAnchor="margin" w:xAlign="right" w:y="1"/>
      <w:rPr>
        <w:rStyle w:val="slostrany"/>
      </w:rPr>
    </w:pPr>
    <w:r w:rsidRPr="006A2486">
      <w:rPr>
        <w:rStyle w:val="slostrany"/>
      </w:rPr>
      <w:fldChar w:fldCharType="begin"/>
    </w:r>
    <w:r w:rsidRPr="006A2486">
      <w:rPr>
        <w:rStyle w:val="slostrany"/>
      </w:rPr>
      <w:instrText xml:space="preserve">PAGE  </w:instrText>
    </w:r>
    <w:r w:rsidRPr="006A2486">
      <w:rPr>
        <w:rStyle w:val="slostrany"/>
      </w:rPr>
      <w:fldChar w:fldCharType="separate"/>
    </w:r>
    <w:r w:rsidR="001F0FE1">
      <w:rPr>
        <w:rStyle w:val="slostrany"/>
        <w:noProof/>
      </w:rPr>
      <w:t>7</w:t>
    </w:r>
    <w:r w:rsidRPr="006A2486">
      <w:rPr>
        <w:rStyle w:val="slostrany"/>
      </w:rPr>
      <w:fldChar w:fldCharType="end"/>
    </w:r>
    <w:r w:rsidR="00016667" w:rsidRPr="006A2486">
      <w:rPr>
        <w:rStyle w:val="slostrany"/>
      </w:rPr>
      <w:t>/4</w:t>
    </w:r>
  </w:p>
  <w:p w14:paraId="5E987C4B" w14:textId="5E2EF70E" w:rsidR="008314B7" w:rsidRPr="006A2486" w:rsidRDefault="006A165C" w:rsidP="006A2486">
    <w:pPr>
      <w:pStyle w:val="Pta"/>
      <w:ind w:right="360"/>
    </w:pPr>
    <w:r>
      <w:t>ICZ/2017/</w:t>
    </w:r>
    <w:r w:rsidR="004516AF">
      <w:t>0</w:t>
    </w:r>
    <w:r>
      <w:t>6372/</w:t>
    </w:r>
    <w:proofErr w:type="spellStart"/>
    <w:r>
      <w:t>me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73B57" w14:textId="77777777" w:rsidR="00AD7E14" w:rsidRDefault="00AD7E14" w:rsidP="00F81E60">
      <w:r>
        <w:separator/>
      </w:r>
    </w:p>
  </w:footnote>
  <w:footnote w:type="continuationSeparator" w:id="0">
    <w:p w14:paraId="6AB59E59" w14:textId="77777777" w:rsidR="00AD7E14" w:rsidRDefault="00AD7E14" w:rsidP="00F81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EDD9D" w14:textId="57AABFC5" w:rsidR="00A236E7" w:rsidRPr="007600FC" w:rsidRDefault="00A236E7" w:rsidP="00A236E7">
    <w:pPr>
      <w:pStyle w:val="Hlavika"/>
      <w:shd w:val="clear" w:color="auto" w:fill="FFFFFF"/>
      <w:jc w:val="right"/>
      <w:rPr>
        <w:color w:val="808080" w:themeColor="background1" w:themeShade="80"/>
        <w:sz w:val="22"/>
        <w:szCs w:val="22"/>
      </w:rPr>
    </w:pPr>
    <w:r w:rsidRPr="009129AF">
      <w:rPr>
        <w:sz w:val="22"/>
        <w:szCs w:val="22"/>
      </w:rPr>
      <w:t xml:space="preserve">Etiketa schválená: </w:t>
    </w:r>
    <w:r w:rsidR="009129AF" w:rsidRPr="009129AF">
      <w:rPr>
        <w:sz w:val="22"/>
        <w:szCs w:val="22"/>
      </w:rPr>
      <w:t>08</w:t>
    </w:r>
    <w:r w:rsidR="004A6641" w:rsidRPr="009129AF">
      <w:rPr>
        <w:sz w:val="22"/>
        <w:szCs w:val="22"/>
      </w:rPr>
      <w:t>.0</w:t>
    </w:r>
    <w:r w:rsidR="0038507F" w:rsidRPr="009129AF">
      <w:rPr>
        <w:sz w:val="22"/>
        <w:szCs w:val="22"/>
      </w:rPr>
      <w:t>7.</w:t>
    </w:r>
    <w:r w:rsidR="004A6641" w:rsidRPr="009129AF">
      <w:rPr>
        <w:sz w:val="22"/>
        <w:szCs w:val="22"/>
      </w:rPr>
      <w:t>2019</w:t>
    </w:r>
  </w:p>
  <w:p w14:paraId="16C8AEE6" w14:textId="77777777" w:rsidR="00B055D7" w:rsidRPr="00B055D7" w:rsidRDefault="00B055D7" w:rsidP="000C5BA0">
    <w:pPr>
      <w:pStyle w:val="Hlavika"/>
      <w:tabs>
        <w:tab w:val="clear" w:pos="9072"/>
        <w:tab w:val="right" w:pos="9639"/>
      </w:tabs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343A5"/>
    <w:multiLevelType w:val="hybridMultilevel"/>
    <w:tmpl w:val="C540B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F672D"/>
    <w:multiLevelType w:val="singleLevel"/>
    <w:tmpl w:val="EB5827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1EC3CFC"/>
    <w:multiLevelType w:val="hybridMultilevel"/>
    <w:tmpl w:val="C7A46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39"/>
    <w:rsid w:val="00014B76"/>
    <w:rsid w:val="00016667"/>
    <w:rsid w:val="0002185E"/>
    <w:rsid w:val="00025B00"/>
    <w:rsid w:val="000314AA"/>
    <w:rsid w:val="000371A4"/>
    <w:rsid w:val="00037FDC"/>
    <w:rsid w:val="00044E0D"/>
    <w:rsid w:val="0005004F"/>
    <w:rsid w:val="0005381B"/>
    <w:rsid w:val="00055567"/>
    <w:rsid w:val="000606F9"/>
    <w:rsid w:val="00062A66"/>
    <w:rsid w:val="00065854"/>
    <w:rsid w:val="00065FC1"/>
    <w:rsid w:val="00074D69"/>
    <w:rsid w:val="00082900"/>
    <w:rsid w:val="00094FCB"/>
    <w:rsid w:val="000B3310"/>
    <w:rsid w:val="000B56E0"/>
    <w:rsid w:val="000B5B0E"/>
    <w:rsid w:val="000B786D"/>
    <w:rsid w:val="000C1AEC"/>
    <w:rsid w:val="000C3D86"/>
    <w:rsid w:val="000C50EB"/>
    <w:rsid w:val="000C5BA0"/>
    <w:rsid w:val="000D7523"/>
    <w:rsid w:val="000F4E1F"/>
    <w:rsid w:val="000F7606"/>
    <w:rsid w:val="000F7ECE"/>
    <w:rsid w:val="00105EC4"/>
    <w:rsid w:val="001156EB"/>
    <w:rsid w:val="00123D0C"/>
    <w:rsid w:val="00130849"/>
    <w:rsid w:val="001315E1"/>
    <w:rsid w:val="001319AC"/>
    <w:rsid w:val="00133310"/>
    <w:rsid w:val="0015259A"/>
    <w:rsid w:val="001622F9"/>
    <w:rsid w:val="0016239F"/>
    <w:rsid w:val="00165F09"/>
    <w:rsid w:val="001748AB"/>
    <w:rsid w:val="00177149"/>
    <w:rsid w:val="00185253"/>
    <w:rsid w:val="00193D5A"/>
    <w:rsid w:val="001A4906"/>
    <w:rsid w:val="001B1EAE"/>
    <w:rsid w:val="001B5B19"/>
    <w:rsid w:val="001B65B9"/>
    <w:rsid w:val="001C2B5B"/>
    <w:rsid w:val="001C50EA"/>
    <w:rsid w:val="001C637D"/>
    <w:rsid w:val="001D066C"/>
    <w:rsid w:val="001D3BD1"/>
    <w:rsid w:val="001F0FE1"/>
    <w:rsid w:val="001F5F97"/>
    <w:rsid w:val="001F7739"/>
    <w:rsid w:val="00200A1B"/>
    <w:rsid w:val="00201F4F"/>
    <w:rsid w:val="002054BB"/>
    <w:rsid w:val="00210EDD"/>
    <w:rsid w:val="00212C68"/>
    <w:rsid w:val="00220ABA"/>
    <w:rsid w:val="002307CC"/>
    <w:rsid w:val="0023169C"/>
    <w:rsid w:val="0024238E"/>
    <w:rsid w:val="0025644B"/>
    <w:rsid w:val="002617A2"/>
    <w:rsid w:val="002640B6"/>
    <w:rsid w:val="00270994"/>
    <w:rsid w:val="00277839"/>
    <w:rsid w:val="002823BB"/>
    <w:rsid w:val="00284EBC"/>
    <w:rsid w:val="002872A0"/>
    <w:rsid w:val="002A105E"/>
    <w:rsid w:val="002A5AA5"/>
    <w:rsid w:val="002B1922"/>
    <w:rsid w:val="002B1B29"/>
    <w:rsid w:val="002B26AA"/>
    <w:rsid w:val="002B27B0"/>
    <w:rsid w:val="002B66F2"/>
    <w:rsid w:val="002C23DF"/>
    <w:rsid w:val="002C4025"/>
    <w:rsid w:val="002D0AC7"/>
    <w:rsid w:val="002D28A0"/>
    <w:rsid w:val="002D51FA"/>
    <w:rsid w:val="002F134F"/>
    <w:rsid w:val="00304AF7"/>
    <w:rsid w:val="0031128D"/>
    <w:rsid w:val="00323AB4"/>
    <w:rsid w:val="003253E1"/>
    <w:rsid w:val="0032545F"/>
    <w:rsid w:val="00333C90"/>
    <w:rsid w:val="00334392"/>
    <w:rsid w:val="00351F1C"/>
    <w:rsid w:val="003563DD"/>
    <w:rsid w:val="00357104"/>
    <w:rsid w:val="0038507F"/>
    <w:rsid w:val="0039118D"/>
    <w:rsid w:val="00391C6D"/>
    <w:rsid w:val="003949DB"/>
    <w:rsid w:val="003A0C7A"/>
    <w:rsid w:val="003B75F7"/>
    <w:rsid w:val="003D23F9"/>
    <w:rsid w:val="003D4B3F"/>
    <w:rsid w:val="003E2F7D"/>
    <w:rsid w:val="003E4514"/>
    <w:rsid w:val="003F4BBC"/>
    <w:rsid w:val="00402D02"/>
    <w:rsid w:val="00410AC0"/>
    <w:rsid w:val="00427526"/>
    <w:rsid w:val="004414ED"/>
    <w:rsid w:val="004516AF"/>
    <w:rsid w:val="00455D21"/>
    <w:rsid w:val="00455D36"/>
    <w:rsid w:val="0045744E"/>
    <w:rsid w:val="004621C2"/>
    <w:rsid w:val="00462330"/>
    <w:rsid w:val="00475845"/>
    <w:rsid w:val="004850D3"/>
    <w:rsid w:val="00486A68"/>
    <w:rsid w:val="004A1D4F"/>
    <w:rsid w:val="004A6623"/>
    <w:rsid w:val="004A6641"/>
    <w:rsid w:val="004B0F89"/>
    <w:rsid w:val="004B1BD5"/>
    <w:rsid w:val="004B3061"/>
    <w:rsid w:val="004C697C"/>
    <w:rsid w:val="004D6235"/>
    <w:rsid w:val="004E1965"/>
    <w:rsid w:val="004F2690"/>
    <w:rsid w:val="00500CDE"/>
    <w:rsid w:val="00504ECC"/>
    <w:rsid w:val="00510B1B"/>
    <w:rsid w:val="00510BA6"/>
    <w:rsid w:val="005257B2"/>
    <w:rsid w:val="00527FE0"/>
    <w:rsid w:val="00545C5C"/>
    <w:rsid w:val="005654B7"/>
    <w:rsid w:val="005705B5"/>
    <w:rsid w:val="00571B2A"/>
    <w:rsid w:val="00573DB2"/>
    <w:rsid w:val="005761EB"/>
    <w:rsid w:val="005A1F7A"/>
    <w:rsid w:val="005A764A"/>
    <w:rsid w:val="005B7986"/>
    <w:rsid w:val="005C0D69"/>
    <w:rsid w:val="005C3021"/>
    <w:rsid w:val="005D12E4"/>
    <w:rsid w:val="005D73D0"/>
    <w:rsid w:val="005E545C"/>
    <w:rsid w:val="005E737A"/>
    <w:rsid w:val="0061614A"/>
    <w:rsid w:val="00627ADC"/>
    <w:rsid w:val="00631ECD"/>
    <w:rsid w:val="006468EF"/>
    <w:rsid w:val="006676BC"/>
    <w:rsid w:val="006747A7"/>
    <w:rsid w:val="00677AC6"/>
    <w:rsid w:val="00684461"/>
    <w:rsid w:val="006938D4"/>
    <w:rsid w:val="00694E1B"/>
    <w:rsid w:val="006A165C"/>
    <w:rsid w:val="006A2486"/>
    <w:rsid w:val="006A646E"/>
    <w:rsid w:val="006C3D36"/>
    <w:rsid w:val="006C5AE8"/>
    <w:rsid w:val="006D3031"/>
    <w:rsid w:val="006D3DB3"/>
    <w:rsid w:val="006D44A8"/>
    <w:rsid w:val="006F1DB6"/>
    <w:rsid w:val="00711DB7"/>
    <w:rsid w:val="007374CB"/>
    <w:rsid w:val="00745876"/>
    <w:rsid w:val="007600FC"/>
    <w:rsid w:val="00762B62"/>
    <w:rsid w:val="00770F35"/>
    <w:rsid w:val="00777404"/>
    <w:rsid w:val="007824EF"/>
    <w:rsid w:val="007826E7"/>
    <w:rsid w:val="0079286D"/>
    <w:rsid w:val="00796817"/>
    <w:rsid w:val="00796D78"/>
    <w:rsid w:val="007A33AB"/>
    <w:rsid w:val="007A63E4"/>
    <w:rsid w:val="007A68A5"/>
    <w:rsid w:val="007C130D"/>
    <w:rsid w:val="007C286C"/>
    <w:rsid w:val="007D08DE"/>
    <w:rsid w:val="007D3AAF"/>
    <w:rsid w:val="007D3E6C"/>
    <w:rsid w:val="007D5853"/>
    <w:rsid w:val="007E183F"/>
    <w:rsid w:val="007E31B2"/>
    <w:rsid w:val="007F30B2"/>
    <w:rsid w:val="007F7400"/>
    <w:rsid w:val="007F7AD4"/>
    <w:rsid w:val="0081525E"/>
    <w:rsid w:val="00815AAA"/>
    <w:rsid w:val="00817BB1"/>
    <w:rsid w:val="00820E4B"/>
    <w:rsid w:val="0082417E"/>
    <w:rsid w:val="008314B7"/>
    <w:rsid w:val="00831A2E"/>
    <w:rsid w:val="008374ED"/>
    <w:rsid w:val="00841EE4"/>
    <w:rsid w:val="0085438F"/>
    <w:rsid w:val="0087467E"/>
    <w:rsid w:val="00876FC4"/>
    <w:rsid w:val="00886389"/>
    <w:rsid w:val="008937B5"/>
    <w:rsid w:val="008A4D0C"/>
    <w:rsid w:val="008B1E99"/>
    <w:rsid w:val="008B2446"/>
    <w:rsid w:val="008D2370"/>
    <w:rsid w:val="008D777B"/>
    <w:rsid w:val="008E54DC"/>
    <w:rsid w:val="00900E56"/>
    <w:rsid w:val="009129AF"/>
    <w:rsid w:val="00913A09"/>
    <w:rsid w:val="00936254"/>
    <w:rsid w:val="009364F7"/>
    <w:rsid w:val="00951C98"/>
    <w:rsid w:val="00952B85"/>
    <w:rsid w:val="00953A7D"/>
    <w:rsid w:val="00977476"/>
    <w:rsid w:val="009818AB"/>
    <w:rsid w:val="009858A2"/>
    <w:rsid w:val="00985A16"/>
    <w:rsid w:val="00985ED8"/>
    <w:rsid w:val="00987DB2"/>
    <w:rsid w:val="00996215"/>
    <w:rsid w:val="009A68D4"/>
    <w:rsid w:val="009B4021"/>
    <w:rsid w:val="009B5749"/>
    <w:rsid w:val="009C75AE"/>
    <w:rsid w:val="009C79C3"/>
    <w:rsid w:val="009D1AF9"/>
    <w:rsid w:val="009D451A"/>
    <w:rsid w:val="009D5FE3"/>
    <w:rsid w:val="009D6ABE"/>
    <w:rsid w:val="009D6B5B"/>
    <w:rsid w:val="009E582F"/>
    <w:rsid w:val="00A05AAC"/>
    <w:rsid w:val="00A14B59"/>
    <w:rsid w:val="00A2348F"/>
    <w:rsid w:val="00A236E7"/>
    <w:rsid w:val="00A27EEC"/>
    <w:rsid w:val="00A31970"/>
    <w:rsid w:val="00A458AC"/>
    <w:rsid w:val="00A46FE4"/>
    <w:rsid w:val="00A53157"/>
    <w:rsid w:val="00A548A1"/>
    <w:rsid w:val="00A55BDB"/>
    <w:rsid w:val="00A61E1D"/>
    <w:rsid w:val="00A646E6"/>
    <w:rsid w:val="00A776F1"/>
    <w:rsid w:val="00A92238"/>
    <w:rsid w:val="00AA26E4"/>
    <w:rsid w:val="00AA54A3"/>
    <w:rsid w:val="00AA7D03"/>
    <w:rsid w:val="00AB05A6"/>
    <w:rsid w:val="00AB153C"/>
    <w:rsid w:val="00AC5E28"/>
    <w:rsid w:val="00AD1A59"/>
    <w:rsid w:val="00AD3B1D"/>
    <w:rsid w:val="00AD5A66"/>
    <w:rsid w:val="00AD7E14"/>
    <w:rsid w:val="00AE536B"/>
    <w:rsid w:val="00AF10E6"/>
    <w:rsid w:val="00B01776"/>
    <w:rsid w:val="00B055D7"/>
    <w:rsid w:val="00B05718"/>
    <w:rsid w:val="00B0692D"/>
    <w:rsid w:val="00B15CA1"/>
    <w:rsid w:val="00B21F80"/>
    <w:rsid w:val="00B23673"/>
    <w:rsid w:val="00B257FE"/>
    <w:rsid w:val="00B57792"/>
    <w:rsid w:val="00B66147"/>
    <w:rsid w:val="00B67FFC"/>
    <w:rsid w:val="00B9048C"/>
    <w:rsid w:val="00B92B38"/>
    <w:rsid w:val="00B95463"/>
    <w:rsid w:val="00B97690"/>
    <w:rsid w:val="00BB58B9"/>
    <w:rsid w:val="00BC0CF6"/>
    <w:rsid w:val="00BC22D2"/>
    <w:rsid w:val="00BD014C"/>
    <w:rsid w:val="00BD2164"/>
    <w:rsid w:val="00BD4672"/>
    <w:rsid w:val="00BE0EED"/>
    <w:rsid w:val="00BE6E0A"/>
    <w:rsid w:val="00BF0700"/>
    <w:rsid w:val="00C064BF"/>
    <w:rsid w:val="00C34D4E"/>
    <w:rsid w:val="00C36EF1"/>
    <w:rsid w:val="00C37BA9"/>
    <w:rsid w:val="00C55299"/>
    <w:rsid w:val="00C67D5C"/>
    <w:rsid w:val="00C76B4F"/>
    <w:rsid w:val="00C777FF"/>
    <w:rsid w:val="00CA5797"/>
    <w:rsid w:val="00CA6D93"/>
    <w:rsid w:val="00CC1B4D"/>
    <w:rsid w:val="00CE1DB8"/>
    <w:rsid w:val="00CE7273"/>
    <w:rsid w:val="00CF2B71"/>
    <w:rsid w:val="00CF3C6F"/>
    <w:rsid w:val="00CF5A7F"/>
    <w:rsid w:val="00D0382F"/>
    <w:rsid w:val="00D1265F"/>
    <w:rsid w:val="00D219F5"/>
    <w:rsid w:val="00D23106"/>
    <w:rsid w:val="00D25982"/>
    <w:rsid w:val="00D27C13"/>
    <w:rsid w:val="00D27DC7"/>
    <w:rsid w:val="00D30E7E"/>
    <w:rsid w:val="00D34C60"/>
    <w:rsid w:val="00D34F36"/>
    <w:rsid w:val="00D41887"/>
    <w:rsid w:val="00D4375A"/>
    <w:rsid w:val="00D53B73"/>
    <w:rsid w:val="00D650A7"/>
    <w:rsid w:val="00D66CED"/>
    <w:rsid w:val="00D8546F"/>
    <w:rsid w:val="00D9069E"/>
    <w:rsid w:val="00DA5A3C"/>
    <w:rsid w:val="00DB65D6"/>
    <w:rsid w:val="00DC173E"/>
    <w:rsid w:val="00DC6629"/>
    <w:rsid w:val="00DC72B4"/>
    <w:rsid w:val="00DD2E81"/>
    <w:rsid w:val="00DD325B"/>
    <w:rsid w:val="00DD4EDF"/>
    <w:rsid w:val="00DD7562"/>
    <w:rsid w:val="00DE4EA2"/>
    <w:rsid w:val="00DE78A9"/>
    <w:rsid w:val="00DF0E4B"/>
    <w:rsid w:val="00DF18AB"/>
    <w:rsid w:val="00E055C5"/>
    <w:rsid w:val="00E07BA2"/>
    <w:rsid w:val="00E12C92"/>
    <w:rsid w:val="00E20909"/>
    <w:rsid w:val="00E21AA2"/>
    <w:rsid w:val="00E23237"/>
    <w:rsid w:val="00E264E1"/>
    <w:rsid w:val="00E30CA3"/>
    <w:rsid w:val="00E37138"/>
    <w:rsid w:val="00E459EA"/>
    <w:rsid w:val="00E50528"/>
    <w:rsid w:val="00E53D2E"/>
    <w:rsid w:val="00E71E31"/>
    <w:rsid w:val="00E736DA"/>
    <w:rsid w:val="00E74D6B"/>
    <w:rsid w:val="00E7790A"/>
    <w:rsid w:val="00E77F3C"/>
    <w:rsid w:val="00E851BD"/>
    <w:rsid w:val="00EA01B7"/>
    <w:rsid w:val="00EA192A"/>
    <w:rsid w:val="00EA3985"/>
    <w:rsid w:val="00EB230C"/>
    <w:rsid w:val="00EB38E6"/>
    <w:rsid w:val="00EB4B17"/>
    <w:rsid w:val="00EC0756"/>
    <w:rsid w:val="00EC2B1A"/>
    <w:rsid w:val="00EC47E8"/>
    <w:rsid w:val="00EC5D77"/>
    <w:rsid w:val="00EE0796"/>
    <w:rsid w:val="00EE49D6"/>
    <w:rsid w:val="00EE7F2B"/>
    <w:rsid w:val="00F16697"/>
    <w:rsid w:val="00F25627"/>
    <w:rsid w:val="00F317CB"/>
    <w:rsid w:val="00F379E8"/>
    <w:rsid w:val="00F40314"/>
    <w:rsid w:val="00F4513E"/>
    <w:rsid w:val="00F4594C"/>
    <w:rsid w:val="00F54A6A"/>
    <w:rsid w:val="00F57C93"/>
    <w:rsid w:val="00F65D32"/>
    <w:rsid w:val="00F77E42"/>
    <w:rsid w:val="00F77ED9"/>
    <w:rsid w:val="00F81E60"/>
    <w:rsid w:val="00F90508"/>
    <w:rsid w:val="00FA16A8"/>
    <w:rsid w:val="00FA288C"/>
    <w:rsid w:val="00FA6D2D"/>
    <w:rsid w:val="00FB1949"/>
    <w:rsid w:val="00FC0121"/>
    <w:rsid w:val="00FC1C62"/>
    <w:rsid w:val="00FC2192"/>
    <w:rsid w:val="00FC50EB"/>
    <w:rsid w:val="00FC67C9"/>
    <w:rsid w:val="00FD2721"/>
    <w:rsid w:val="00FD526C"/>
    <w:rsid w:val="00FE327D"/>
    <w:rsid w:val="00FE4A6B"/>
    <w:rsid w:val="00FF3961"/>
    <w:rsid w:val="00FF43FD"/>
    <w:rsid w:val="00FF5BCA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75B5F29"/>
  <w15:chartTrackingRefBased/>
  <w15:docId w15:val="{F52274F5-EBE7-4DE8-922E-BAD6DF13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5D32"/>
    <w:pPr>
      <w:autoSpaceDE w:val="0"/>
      <w:autoSpaceDN w:val="0"/>
    </w:pPr>
  </w:style>
  <w:style w:type="paragraph" w:styleId="Nadpis1">
    <w:name w:val="heading 1"/>
    <w:basedOn w:val="Normlny"/>
    <w:next w:val="Normlny"/>
    <w:qFormat/>
    <w:rsid w:val="00F65D32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qFormat/>
    <w:rsid w:val="00F65D32"/>
    <w:pPr>
      <w:keepNext/>
      <w:ind w:left="1416" w:firstLine="708"/>
      <w:jc w:val="both"/>
      <w:outlineLvl w:val="2"/>
    </w:pPr>
    <w:rPr>
      <w:rFonts w:ascii="Arial" w:hAnsi="Arial" w:cs="Arial"/>
      <w:b/>
      <w:bCs/>
      <w:color w:val="000000"/>
      <w:sz w:val="24"/>
      <w:szCs w:val="24"/>
    </w:rPr>
  </w:style>
  <w:style w:type="paragraph" w:styleId="Nadpis4">
    <w:name w:val="heading 4"/>
    <w:basedOn w:val="Normlny"/>
    <w:next w:val="Normlny"/>
    <w:qFormat/>
    <w:rsid w:val="00F65D32"/>
    <w:pPr>
      <w:keepNext/>
      <w:jc w:val="both"/>
      <w:outlineLvl w:val="3"/>
    </w:pPr>
    <w:rPr>
      <w:rFonts w:ascii="Arial" w:hAnsi="Arial" w:cs="Arial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F65D32"/>
    <w:rPr>
      <w:rFonts w:ascii="Tahoma" w:hAnsi="Tahoma" w:cs="Tahoma"/>
      <w:sz w:val="24"/>
      <w:szCs w:val="24"/>
    </w:rPr>
  </w:style>
  <w:style w:type="paragraph" w:styleId="Pta">
    <w:name w:val="footer"/>
    <w:basedOn w:val="Normlny"/>
    <w:rsid w:val="00F65D3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65D32"/>
  </w:style>
  <w:style w:type="paragraph" w:styleId="Zarkazkladnhotextu">
    <w:name w:val="Body Text Indent"/>
    <w:basedOn w:val="Normlny"/>
    <w:rsid w:val="00F65D32"/>
    <w:pPr>
      <w:jc w:val="both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A05AAC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rsid w:val="000C50E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zel9bold1">
    <w:name w:val="zel9bold1"/>
    <w:rsid w:val="000C50EB"/>
    <w:rPr>
      <w:rFonts w:ascii="Tahoma" w:hAnsi="Tahoma" w:hint="default"/>
      <w:b/>
      <w:bCs/>
      <w:caps w:val="0"/>
      <w:smallCaps w:val="0"/>
      <w:color w:val="00613B"/>
      <w:sz w:val="20"/>
      <w:szCs w:val="20"/>
    </w:rPr>
  </w:style>
  <w:style w:type="paragraph" w:styleId="Obyajntext">
    <w:name w:val="Plain Text"/>
    <w:aliases w:val=" Char Char, Char,Char"/>
    <w:basedOn w:val="Normlny"/>
    <w:link w:val="ObyajntextChar"/>
    <w:rsid w:val="00D34F36"/>
    <w:pPr>
      <w:autoSpaceDE/>
      <w:autoSpaceDN/>
      <w:spacing w:after="120"/>
    </w:pPr>
    <w:rPr>
      <w:rFonts w:eastAsia="MS Mincho"/>
      <w:sz w:val="24"/>
      <w:szCs w:val="24"/>
    </w:rPr>
  </w:style>
  <w:style w:type="character" w:customStyle="1" w:styleId="ObyajntextChar">
    <w:name w:val="Obyčajný text Char"/>
    <w:aliases w:val=" Char Char Char, Char Char1,Char Char"/>
    <w:link w:val="Obyajntext"/>
    <w:rsid w:val="00D34F36"/>
    <w:rPr>
      <w:rFonts w:eastAsia="MS Mincho" w:cs="Arial Unicode MS"/>
      <w:sz w:val="24"/>
      <w:szCs w:val="24"/>
      <w:lang w:val="sk-SK" w:eastAsia="sk-SK" w:bidi="ar-SA"/>
    </w:rPr>
  </w:style>
  <w:style w:type="paragraph" w:styleId="Textbubliny">
    <w:name w:val="Balloon Text"/>
    <w:basedOn w:val="Normlny"/>
    <w:semiHidden/>
    <w:rsid w:val="00BC0CF6"/>
    <w:rPr>
      <w:rFonts w:ascii="Tahoma" w:hAnsi="Tahoma"/>
      <w:sz w:val="16"/>
      <w:szCs w:val="16"/>
    </w:rPr>
  </w:style>
  <w:style w:type="paragraph" w:customStyle="1" w:styleId="Default">
    <w:name w:val="Default"/>
    <w:rsid w:val="008314B7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character" w:styleId="Hypertextovprepojenie">
    <w:name w:val="Hyperlink"/>
    <w:uiPriority w:val="99"/>
    <w:unhideWhenUsed/>
    <w:rsid w:val="00510B1B"/>
    <w:rPr>
      <w:color w:val="0000FF"/>
      <w:u w:val="single"/>
    </w:rPr>
  </w:style>
  <w:style w:type="paragraph" w:customStyle="1" w:styleId="Normalnoindent">
    <w:name w:val="Normal no indent"/>
    <w:basedOn w:val="Normlnysozarkami"/>
    <w:link w:val="NormalnoindentChar"/>
    <w:rsid w:val="000B56E0"/>
    <w:pPr>
      <w:autoSpaceDE/>
      <w:autoSpaceDN/>
      <w:spacing w:after="240"/>
      <w:ind w:left="0"/>
      <w:jc w:val="both"/>
    </w:pPr>
    <w:rPr>
      <w:lang w:val="en-GB" w:eastAsia="en-US"/>
    </w:rPr>
  </w:style>
  <w:style w:type="character" w:customStyle="1" w:styleId="NormalnoindentChar">
    <w:name w:val="Normal no indent Char"/>
    <w:link w:val="Normalnoindent"/>
    <w:locked/>
    <w:rsid w:val="000B56E0"/>
    <w:rPr>
      <w:lang w:val="en-GB" w:eastAsia="en-US"/>
    </w:rPr>
  </w:style>
  <w:style w:type="paragraph" w:styleId="Normlnysozarkami">
    <w:name w:val="Normal Indent"/>
    <w:basedOn w:val="Normlny"/>
    <w:uiPriority w:val="99"/>
    <w:semiHidden/>
    <w:unhideWhenUsed/>
    <w:rsid w:val="000B56E0"/>
    <w:pPr>
      <w:ind w:left="708"/>
    </w:pPr>
  </w:style>
  <w:style w:type="paragraph" w:customStyle="1" w:styleId="OECD-BASIS-TEXT">
    <w:name w:val="OECD-BASIS-TEXT"/>
    <w:link w:val="OECD-BASIS-TEXTChar"/>
    <w:uiPriority w:val="99"/>
    <w:qFormat/>
    <w:rsid w:val="003D23F9"/>
    <w:pPr>
      <w:tabs>
        <w:tab w:val="left" w:pos="720"/>
      </w:tabs>
      <w:spacing w:line="280" w:lineRule="exact"/>
      <w:jc w:val="both"/>
    </w:pPr>
    <w:rPr>
      <w:color w:val="000000"/>
      <w:sz w:val="22"/>
      <w:szCs w:val="22"/>
      <w:lang w:val="en-GB" w:eastAsia="en-US"/>
    </w:rPr>
  </w:style>
  <w:style w:type="character" w:customStyle="1" w:styleId="OECD-BASIS-TEXTChar">
    <w:name w:val="OECD-BASIS-TEXT Char"/>
    <w:link w:val="OECD-BASIS-TEXT"/>
    <w:uiPriority w:val="99"/>
    <w:rsid w:val="003D23F9"/>
    <w:rPr>
      <w:color w:val="000000"/>
      <w:sz w:val="22"/>
      <w:szCs w:val="22"/>
      <w:lang w:val="en-GB" w:eastAsia="en-US" w:bidi="ar-SA"/>
    </w:rPr>
  </w:style>
  <w:style w:type="paragraph" w:customStyle="1" w:styleId="OECD-HeadLine1">
    <w:name w:val="OECD-HeadLine 1"/>
    <w:next w:val="Normlny"/>
    <w:rsid w:val="003D23F9"/>
    <w:pPr>
      <w:widowControl w:val="0"/>
      <w:tabs>
        <w:tab w:val="left" w:pos="1440"/>
      </w:tabs>
      <w:spacing w:before="240" w:after="120"/>
      <w:ind w:left="1440" w:hanging="1440"/>
    </w:pPr>
    <w:rPr>
      <w:b/>
      <w:noProof/>
      <w:sz w:val="24"/>
      <w:lang w:val="en-GB" w:eastAsia="en-US"/>
    </w:rPr>
  </w:style>
  <w:style w:type="table" w:styleId="Mriekatabuky">
    <w:name w:val="Table Grid"/>
    <w:basedOn w:val="Normlnatabuka"/>
    <w:rsid w:val="000B5B0E"/>
    <w:rPr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uiPriority w:val="20"/>
    <w:qFormat/>
    <w:rsid w:val="00D1265F"/>
    <w:rPr>
      <w:i/>
      <w:iCs/>
    </w:rPr>
  </w:style>
  <w:style w:type="character" w:customStyle="1" w:styleId="HlavikaChar">
    <w:name w:val="Hlavička Char"/>
    <w:basedOn w:val="Predvolenpsmoodseku"/>
    <w:link w:val="Hlavika"/>
    <w:uiPriority w:val="99"/>
    <w:rsid w:val="00A236E7"/>
  </w:style>
  <w:style w:type="character" w:styleId="Odkaznakomentr">
    <w:name w:val="annotation reference"/>
    <w:basedOn w:val="Predvolenpsmoodseku"/>
    <w:uiPriority w:val="99"/>
    <w:semiHidden/>
    <w:unhideWhenUsed/>
    <w:rsid w:val="00AF10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F10E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F10E6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10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F10E6"/>
    <w:rPr>
      <w:b/>
      <w:bCs/>
    </w:rPr>
  </w:style>
  <w:style w:type="paragraph" w:styleId="Revzia">
    <w:name w:val="Revision"/>
    <w:hidden/>
    <w:uiPriority w:val="99"/>
    <w:semiHidden/>
    <w:rsid w:val="0003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sra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BED62-8626-4105-BBCA-0F4BAC77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2166</Words>
  <Characters>13816</Characters>
  <Application>Microsoft Office Word</Application>
  <DocSecurity>0</DocSecurity>
  <Lines>115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FLOWBRIX</vt:lpstr>
    </vt:vector>
  </TitlesOfParts>
  <Company>Hewlett-Packard</Company>
  <LinksUpToDate>false</LinksUpToDate>
  <CharactersWithSpaces>15951</CharactersWithSpaces>
  <SharedDoc>false</SharedDoc>
  <HLinks>
    <vt:vector size="6" baseType="variant">
      <vt:variant>
        <vt:i4>8192049</vt:i4>
      </vt:variant>
      <vt:variant>
        <vt:i4>0</vt:i4>
      </vt:variant>
      <vt:variant>
        <vt:i4>0</vt:i4>
      </vt:variant>
      <vt:variant>
        <vt:i4>5</vt:i4>
      </vt:variant>
      <vt:variant>
        <vt:lpwstr>http://www.asra.sk/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FLOWBRIX</dc:title>
  <dc:subject/>
  <dc:creator>Mertová Barbora Ing.</dc:creator>
  <cp:keywords/>
  <cp:lastModifiedBy>Barbora Mertová</cp:lastModifiedBy>
  <cp:revision>6</cp:revision>
  <cp:lastPrinted>2015-04-02T09:22:00Z</cp:lastPrinted>
  <dcterms:created xsi:type="dcterms:W3CDTF">2019-07-03T13:24:00Z</dcterms:created>
  <dcterms:modified xsi:type="dcterms:W3CDTF">2019-07-09T12:53:00Z</dcterms:modified>
</cp:coreProperties>
</file>