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56" w:rsidRPr="00BA3294" w:rsidRDefault="00500466" w:rsidP="00E46056">
      <w:pPr>
        <w:jc w:val="center"/>
        <w:outlineLvl w:val="0"/>
        <w:rPr>
          <w:lang w:val="sk-SK"/>
        </w:rPr>
      </w:pPr>
      <w:r w:rsidRPr="00BA3294">
        <w:rPr>
          <w:lang w:val="sk-SK"/>
        </w:rPr>
        <w:t>Pomocný prípravok v ochrane rastlín pre profesionálnych</w:t>
      </w:r>
      <w:r w:rsidR="00E46056" w:rsidRPr="00BA3294">
        <w:rPr>
          <w:lang w:val="sk-SK"/>
        </w:rPr>
        <w:t xml:space="preserve"> používateľov</w:t>
      </w:r>
    </w:p>
    <w:p w:rsidR="00234288" w:rsidRDefault="00234288" w:rsidP="00E46056">
      <w:pPr>
        <w:spacing w:after="120"/>
        <w:jc w:val="center"/>
        <w:outlineLvl w:val="0"/>
        <w:rPr>
          <w:b/>
          <w:caps/>
          <w:sz w:val="40"/>
          <w:szCs w:val="40"/>
          <w:lang w:val="sk-SK"/>
        </w:rPr>
      </w:pPr>
    </w:p>
    <w:p w:rsidR="00500466" w:rsidRDefault="00234288" w:rsidP="00E46056">
      <w:pPr>
        <w:spacing w:after="120"/>
        <w:jc w:val="center"/>
        <w:outlineLvl w:val="0"/>
        <w:rPr>
          <w:lang w:val="sk-SK"/>
        </w:rPr>
      </w:pPr>
      <w:r w:rsidRPr="00234288">
        <w:rPr>
          <w:b/>
          <w:caps/>
          <w:sz w:val="40"/>
          <w:szCs w:val="40"/>
          <w:lang w:val="sk-SK"/>
        </w:rPr>
        <w:t>HELIOSOL</w:t>
      </w:r>
      <w:r w:rsidRPr="00FD7708">
        <w:rPr>
          <w:b/>
          <w:sz w:val="40"/>
          <w:szCs w:val="40"/>
          <w:vertAlign w:val="superscript"/>
        </w:rPr>
        <w:t>®</w:t>
      </w:r>
      <w:r w:rsidR="00500466" w:rsidRPr="009F7833">
        <w:rPr>
          <w:highlight w:val="yellow"/>
          <w:lang w:val="sk-SK"/>
        </w:rPr>
        <w:t xml:space="preserve"> </w:t>
      </w:r>
    </w:p>
    <w:p w:rsidR="00234288" w:rsidRDefault="00234288" w:rsidP="00234288">
      <w:pPr>
        <w:pStyle w:val="Style10"/>
        <w:widowControl/>
        <w:rPr>
          <w:rFonts w:ascii="Times New Roman" w:hAnsi="Times New Roman" w:cs="Times New Roman"/>
          <w:lang w:val="sk-SK" w:eastAsia="cs-CZ"/>
        </w:rPr>
      </w:pPr>
    </w:p>
    <w:p w:rsidR="00234288" w:rsidRPr="00234288" w:rsidRDefault="00234288" w:rsidP="00234288">
      <w:pPr>
        <w:pStyle w:val="Style10"/>
        <w:widowControl/>
        <w:jc w:val="both"/>
        <w:rPr>
          <w:rFonts w:ascii="Times New Roman" w:hAnsi="Times New Roman" w:cs="Times New Roman"/>
          <w:lang w:val="sk-SK" w:eastAsia="cs-CZ"/>
        </w:rPr>
      </w:pPr>
      <w:proofErr w:type="spellStart"/>
      <w:r>
        <w:rPr>
          <w:rFonts w:ascii="Times New Roman" w:hAnsi="Times New Roman" w:cs="Times New Roman"/>
          <w:lang w:val="sk-SK" w:eastAsia="cs-CZ"/>
        </w:rPr>
        <w:t>A</w:t>
      </w:r>
      <w:r w:rsidRPr="00234288">
        <w:rPr>
          <w:rFonts w:ascii="Times New Roman" w:hAnsi="Times New Roman" w:cs="Times New Roman"/>
          <w:lang w:val="sk-SK" w:eastAsia="cs-CZ"/>
        </w:rPr>
        <w:t>djuvant</w:t>
      </w:r>
      <w:proofErr w:type="spellEnd"/>
      <w:r w:rsidRPr="00234288">
        <w:rPr>
          <w:rFonts w:ascii="Times New Roman" w:hAnsi="Times New Roman" w:cs="Times New Roman"/>
          <w:lang w:val="sk-SK" w:eastAsia="cs-CZ"/>
        </w:rPr>
        <w:t xml:space="preserve"> pre herbicídy, insekticídy, </w:t>
      </w:r>
      <w:proofErr w:type="spellStart"/>
      <w:r w:rsidRPr="00234288">
        <w:rPr>
          <w:rFonts w:ascii="Times New Roman" w:hAnsi="Times New Roman" w:cs="Times New Roman"/>
          <w:lang w:val="sk-SK" w:eastAsia="cs-CZ"/>
        </w:rPr>
        <w:t>fungicídy</w:t>
      </w:r>
      <w:proofErr w:type="spellEnd"/>
      <w:r w:rsidRPr="00234288">
        <w:rPr>
          <w:rFonts w:ascii="Times New Roman" w:hAnsi="Times New Roman" w:cs="Times New Roman"/>
          <w:lang w:val="sk-SK" w:eastAsia="cs-CZ"/>
        </w:rPr>
        <w:t xml:space="preserve">, </w:t>
      </w:r>
      <w:proofErr w:type="spellStart"/>
      <w:r w:rsidRPr="00234288">
        <w:rPr>
          <w:rFonts w:ascii="Times New Roman" w:hAnsi="Times New Roman" w:cs="Times New Roman"/>
          <w:lang w:val="sk-SK" w:eastAsia="cs-CZ"/>
        </w:rPr>
        <w:t>akaricídy</w:t>
      </w:r>
      <w:proofErr w:type="spellEnd"/>
      <w:r w:rsidRPr="00234288">
        <w:rPr>
          <w:rFonts w:ascii="Times New Roman" w:hAnsi="Times New Roman" w:cs="Times New Roman"/>
          <w:lang w:val="sk-SK" w:eastAsia="cs-CZ"/>
        </w:rPr>
        <w:t xml:space="preserve"> a regulátory rastu vo forme emul</w:t>
      </w:r>
      <w:r w:rsidR="00A30556">
        <w:rPr>
          <w:rFonts w:ascii="Times New Roman" w:hAnsi="Times New Roman" w:cs="Times New Roman"/>
          <w:lang w:val="sk-SK" w:eastAsia="cs-CZ"/>
        </w:rPr>
        <w:t>zného</w:t>
      </w:r>
      <w:r w:rsidRPr="00234288">
        <w:rPr>
          <w:rFonts w:ascii="Times New Roman" w:hAnsi="Times New Roman" w:cs="Times New Roman"/>
          <w:lang w:val="sk-SK" w:eastAsia="cs-CZ"/>
        </w:rPr>
        <w:t xml:space="preserve"> koncentrátu (EC).</w:t>
      </w:r>
    </w:p>
    <w:p w:rsidR="00500466" w:rsidRPr="00241DBD" w:rsidRDefault="00500466" w:rsidP="00500466">
      <w:pPr>
        <w:rPr>
          <w:b/>
          <w:lang w:val="sk-SK"/>
        </w:rPr>
      </w:pPr>
    </w:p>
    <w:p w:rsidR="00500466" w:rsidRPr="00234288" w:rsidRDefault="00D0120A" w:rsidP="0077586F">
      <w:pPr>
        <w:outlineLvl w:val="0"/>
        <w:rPr>
          <w:lang w:val="sk-SK"/>
        </w:rPr>
      </w:pPr>
      <w:r>
        <w:rPr>
          <w:b/>
          <w:caps/>
          <w:lang w:val="sk-SK"/>
        </w:rPr>
        <w:t>AKTÍVNA ZLOŽKA</w:t>
      </w:r>
      <w:r w:rsidR="00500466" w:rsidRPr="00241DBD">
        <w:rPr>
          <w:b/>
          <w:lang w:val="sk-SK"/>
        </w:rPr>
        <w:t>:</w:t>
      </w:r>
      <w:r w:rsidR="00500466" w:rsidRPr="00241DBD">
        <w:rPr>
          <w:lang w:val="sk-SK"/>
        </w:rPr>
        <w:t xml:space="preserve"> </w:t>
      </w:r>
      <w:r w:rsidR="00500466" w:rsidRPr="00241DBD">
        <w:rPr>
          <w:lang w:val="sk-SK"/>
        </w:rPr>
        <w:tab/>
      </w:r>
      <w:proofErr w:type="spellStart"/>
      <w:r w:rsidR="00234288">
        <w:rPr>
          <w:lang w:val="sk-SK"/>
        </w:rPr>
        <w:t>terpineol</w:t>
      </w:r>
      <w:proofErr w:type="spellEnd"/>
      <w:r w:rsidR="003A1F47">
        <w:rPr>
          <w:lang w:val="sk-SK"/>
        </w:rPr>
        <w:t xml:space="preserve">     </w:t>
      </w:r>
      <w:r w:rsidR="00234288">
        <w:rPr>
          <w:b/>
          <w:lang w:val="sk-SK"/>
        </w:rPr>
        <w:t xml:space="preserve">   </w:t>
      </w:r>
      <w:r w:rsidR="00234288" w:rsidRPr="00234288">
        <w:rPr>
          <w:lang w:val="sk-SK"/>
        </w:rPr>
        <w:t xml:space="preserve">70 </w:t>
      </w:r>
      <w:r w:rsidR="00500466" w:rsidRPr="00234288">
        <w:rPr>
          <w:lang w:val="sk-SK"/>
        </w:rPr>
        <w:t>%</w:t>
      </w:r>
      <w:r w:rsidR="00234288" w:rsidRPr="00234288">
        <w:rPr>
          <w:lang w:val="sk-SK"/>
        </w:rPr>
        <w:t xml:space="preserve"> hm.</w:t>
      </w:r>
      <w:r w:rsidRPr="00234288">
        <w:rPr>
          <w:b/>
          <w:lang w:val="sk-SK"/>
        </w:rPr>
        <w:t xml:space="preserve"> </w:t>
      </w:r>
      <w:r w:rsidRPr="00234288">
        <w:rPr>
          <w:lang w:val="sk-SK"/>
        </w:rPr>
        <w:t>(</w:t>
      </w:r>
      <w:r w:rsidR="00234288" w:rsidRPr="00234288">
        <w:rPr>
          <w:lang w:val="sk-SK"/>
        </w:rPr>
        <w:t>665</w:t>
      </w:r>
      <w:r w:rsidRPr="00234288">
        <w:rPr>
          <w:lang w:val="sk-SK"/>
        </w:rPr>
        <w:t xml:space="preserve"> g/l )</w:t>
      </w:r>
    </w:p>
    <w:p w:rsidR="00500466" w:rsidRPr="000A7B6B" w:rsidRDefault="00500466" w:rsidP="00500466">
      <w:pPr>
        <w:outlineLvl w:val="0"/>
        <w:rPr>
          <w:lang w:val="sk-SK"/>
        </w:rPr>
      </w:pPr>
    </w:p>
    <w:p w:rsidR="00234288" w:rsidRDefault="00A56C91" w:rsidP="00A56C91">
      <w:pPr>
        <w:jc w:val="both"/>
        <w:rPr>
          <w:lang w:val="sk-SK"/>
        </w:rPr>
      </w:pPr>
      <w:r w:rsidRPr="00D802B4">
        <w:rPr>
          <w:b/>
          <w:kern w:val="28"/>
          <w:lang w:val="sk-SK"/>
        </w:rPr>
        <w:t>Látky nebezpečné pre zdravie, ktoré prispievajú ku klasifikácii prípravku</w:t>
      </w:r>
      <w:r w:rsidRPr="00D802B4">
        <w:rPr>
          <w:lang w:val="sk-SK"/>
        </w:rPr>
        <w:t xml:space="preserve">: </w:t>
      </w:r>
    </w:p>
    <w:p w:rsidR="00234288" w:rsidRPr="00234288" w:rsidRDefault="00234288" w:rsidP="00234288">
      <w:pPr>
        <w:jc w:val="both"/>
        <w:rPr>
          <w:lang w:val="sk-SK"/>
        </w:rPr>
      </w:pPr>
      <w:proofErr w:type="spellStart"/>
      <w:r w:rsidRPr="00234288">
        <w:rPr>
          <w:lang w:val="sk-SK"/>
        </w:rPr>
        <w:t>terpineol</w:t>
      </w:r>
      <w:proofErr w:type="spellEnd"/>
      <w:r w:rsidRPr="00234288">
        <w:rPr>
          <w:lang w:val="sk-SK"/>
        </w:rPr>
        <w:t xml:space="preserve"> CAS: 8000-41-7</w:t>
      </w:r>
    </w:p>
    <w:p w:rsidR="00234288" w:rsidRDefault="00234288" w:rsidP="00A56C91">
      <w:pPr>
        <w:jc w:val="both"/>
        <w:rPr>
          <w:lang w:val="sk-SK"/>
        </w:rPr>
      </w:pPr>
    </w:p>
    <w:p w:rsidR="00A56C91" w:rsidRPr="000A7B6B" w:rsidRDefault="00A56C91" w:rsidP="00A56C91">
      <w:pPr>
        <w:outlineLvl w:val="0"/>
        <w:rPr>
          <w:b/>
          <w:lang w:val="sk-SK"/>
        </w:rPr>
      </w:pPr>
      <w:r w:rsidRPr="000A7B6B">
        <w:rPr>
          <w:b/>
          <w:lang w:val="sk-SK"/>
        </w:rPr>
        <w:t xml:space="preserve">OZNAČENIE: </w:t>
      </w:r>
    </w:p>
    <w:tbl>
      <w:tblPr>
        <w:tblW w:w="1628" w:type="dxa"/>
        <w:tblInd w:w="-34" w:type="dxa"/>
        <w:tblLook w:val="00A0" w:firstRow="1" w:lastRow="0" w:firstColumn="1" w:lastColumn="0" w:noHBand="0" w:noVBand="0"/>
      </w:tblPr>
      <w:tblGrid>
        <w:gridCol w:w="1628"/>
      </w:tblGrid>
      <w:tr w:rsidR="00234288" w:rsidRPr="00D802B4" w:rsidTr="00234288">
        <w:tc>
          <w:tcPr>
            <w:tcW w:w="1628" w:type="dxa"/>
          </w:tcPr>
          <w:p w:rsidR="00234288" w:rsidRPr="00D802B4" w:rsidRDefault="002D29D3" w:rsidP="007D776B">
            <w:pPr>
              <w:tabs>
                <w:tab w:val="left" w:pos="1008"/>
              </w:tabs>
              <w:spacing w:before="40" w:after="40"/>
              <w:jc w:val="center"/>
              <w:rPr>
                <w:lang w:val="sk-SK" w:eastAsia="sk-SK"/>
              </w:rPr>
            </w:pPr>
            <w:r w:rsidRPr="00A56C91">
              <w:rPr>
                <w:noProof/>
                <w:lang w:val="sk-SK" w:eastAsia="sk-SK"/>
              </w:rPr>
              <w:drawing>
                <wp:inline distT="0" distB="0" distL="0" distR="0">
                  <wp:extent cx="688975" cy="688975"/>
                  <wp:effectExtent l="0" t="0" r="0" b="0"/>
                  <wp:docPr id="1"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a:ln>
                            <a:noFill/>
                          </a:ln>
                        </pic:spPr>
                      </pic:pic>
                    </a:graphicData>
                  </a:graphic>
                </wp:inline>
              </w:drawing>
            </w:r>
          </w:p>
        </w:tc>
      </w:tr>
      <w:tr w:rsidR="00234288" w:rsidRPr="00D802B4" w:rsidTr="00234288">
        <w:tc>
          <w:tcPr>
            <w:tcW w:w="1628" w:type="dxa"/>
          </w:tcPr>
          <w:p w:rsidR="00234288" w:rsidRPr="00D802B4" w:rsidRDefault="00234288" w:rsidP="007D776B">
            <w:pPr>
              <w:tabs>
                <w:tab w:val="left" w:pos="1008"/>
              </w:tabs>
              <w:spacing w:before="40" w:after="40"/>
              <w:jc w:val="center"/>
              <w:rPr>
                <w:lang w:val="sk-SK" w:eastAsia="sk-SK"/>
              </w:rPr>
            </w:pPr>
            <w:r w:rsidRPr="00D802B4">
              <w:rPr>
                <w:lang w:val="sk-SK" w:eastAsia="sk-SK"/>
              </w:rPr>
              <w:t>GHS07</w:t>
            </w:r>
          </w:p>
        </w:tc>
      </w:tr>
    </w:tbl>
    <w:p w:rsidR="00A56C91" w:rsidRDefault="00A56C91" w:rsidP="00A56C91">
      <w:pPr>
        <w:outlineLvl w:val="0"/>
        <w:rPr>
          <w:b/>
          <w:lang w:val="sk-SK"/>
        </w:rPr>
      </w:pPr>
    </w:p>
    <w:tbl>
      <w:tblPr>
        <w:tblW w:w="8136" w:type="dxa"/>
        <w:tblInd w:w="-34" w:type="dxa"/>
        <w:tblLook w:val="00A0" w:firstRow="1" w:lastRow="0" w:firstColumn="1" w:lastColumn="0" w:noHBand="0" w:noVBand="0"/>
      </w:tblPr>
      <w:tblGrid>
        <w:gridCol w:w="8136"/>
      </w:tblGrid>
      <w:tr w:rsidR="00A56C91" w:rsidRPr="00D802B4" w:rsidTr="007D776B">
        <w:tc>
          <w:tcPr>
            <w:tcW w:w="8136" w:type="dxa"/>
          </w:tcPr>
          <w:p w:rsidR="00A56C91" w:rsidRPr="00F829C0" w:rsidRDefault="00F829C0" w:rsidP="00F829C0">
            <w:pPr>
              <w:spacing w:before="40" w:after="40"/>
              <w:jc w:val="both"/>
              <w:rPr>
                <w:color w:val="A6A6A6"/>
                <w:lang w:eastAsia="sk-SK"/>
              </w:rPr>
            </w:pPr>
            <w:r w:rsidRPr="00056566">
              <w:rPr>
                <w:b/>
                <w:sz w:val="28"/>
                <w:szCs w:val="28"/>
                <w:lang w:val="sk-SK" w:eastAsia="sk-SK"/>
              </w:rPr>
              <w:t>Pozor</w:t>
            </w:r>
          </w:p>
        </w:tc>
      </w:tr>
    </w:tbl>
    <w:p w:rsidR="00A56C91" w:rsidRDefault="00A56C91" w:rsidP="00A56C91">
      <w:pPr>
        <w:rPr>
          <w:color w:val="A6A6A6"/>
          <w:sz w:val="22"/>
          <w:szCs w:val="22"/>
          <w:lang w:val="sk-SK" w:eastAsia="sk-SK"/>
        </w:rPr>
      </w:pPr>
    </w:p>
    <w:p w:rsidR="003A1F47" w:rsidRPr="003A1F47" w:rsidRDefault="003A1F47" w:rsidP="003A1F47">
      <w:pPr>
        <w:ind w:left="1418" w:hanging="1418"/>
        <w:rPr>
          <w:b/>
          <w:szCs w:val="22"/>
          <w:lang w:val="sk-SK" w:eastAsia="sk-SK"/>
        </w:rPr>
      </w:pPr>
      <w:r w:rsidRPr="003A1F47">
        <w:rPr>
          <w:b/>
          <w:szCs w:val="22"/>
          <w:lang w:val="sk-SK" w:eastAsia="sk-SK"/>
        </w:rPr>
        <w:t>H319</w:t>
      </w:r>
      <w:r w:rsidRPr="003A1F47">
        <w:rPr>
          <w:b/>
          <w:szCs w:val="22"/>
          <w:lang w:val="sk-SK" w:eastAsia="sk-SK"/>
        </w:rPr>
        <w:tab/>
        <w:t>Spôsobuje vážne podráždenie očí.</w:t>
      </w:r>
    </w:p>
    <w:p w:rsidR="003A1F47" w:rsidRPr="003A1F47" w:rsidRDefault="003A1F47" w:rsidP="003A1F47">
      <w:pPr>
        <w:ind w:left="1418" w:hanging="1418"/>
        <w:rPr>
          <w:b/>
          <w:szCs w:val="22"/>
          <w:lang w:val="sk-SK" w:eastAsia="sk-SK"/>
        </w:rPr>
      </w:pPr>
      <w:r w:rsidRPr="003A1F47">
        <w:rPr>
          <w:b/>
          <w:szCs w:val="22"/>
          <w:lang w:val="sk-SK" w:eastAsia="sk-SK"/>
        </w:rPr>
        <w:t>H412</w:t>
      </w:r>
      <w:r w:rsidRPr="003A1F47">
        <w:rPr>
          <w:b/>
          <w:szCs w:val="22"/>
          <w:lang w:val="sk-SK" w:eastAsia="sk-SK"/>
        </w:rPr>
        <w:tab/>
        <w:t>Škodlivý pre vodné organizmy, s dlhodobými účinkami.</w:t>
      </w:r>
      <w:r w:rsidRPr="003A1F47">
        <w:rPr>
          <w:b/>
          <w:szCs w:val="22"/>
          <w:lang w:val="sk-SK" w:eastAsia="sk-SK"/>
        </w:rPr>
        <w:tab/>
      </w:r>
    </w:p>
    <w:p w:rsidR="003A1F47" w:rsidRPr="003A1F47" w:rsidRDefault="003A1F47" w:rsidP="003A1F47">
      <w:pPr>
        <w:ind w:left="1418" w:hanging="1418"/>
        <w:rPr>
          <w:b/>
          <w:szCs w:val="22"/>
          <w:lang w:val="sk-SK" w:eastAsia="sk-SK"/>
        </w:rPr>
      </w:pPr>
      <w:r w:rsidRPr="003A1F47">
        <w:rPr>
          <w:b/>
          <w:szCs w:val="22"/>
          <w:lang w:val="sk-SK" w:eastAsia="sk-SK"/>
        </w:rPr>
        <w:t>EUH208</w:t>
      </w:r>
      <w:r w:rsidRPr="003A1F47">
        <w:rPr>
          <w:b/>
          <w:szCs w:val="22"/>
          <w:lang w:val="sk-SK" w:eastAsia="sk-SK"/>
        </w:rPr>
        <w:tab/>
        <w:t>Obsahuje</w:t>
      </w:r>
      <w:r w:rsidR="00A30556" w:rsidRPr="00A30556">
        <w:t xml:space="preserve"> </w:t>
      </w:r>
      <w:proofErr w:type="spellStart"/>
      <w:r w:rsidR="00A30556" w:rsidRPr="00A30556">
        <w:rPr>
          <w:b/>
          <w:szCs w:val="22"/>
          <w:lang w:val="sk-SK" w:eastAsia="sk-SK"/>
        </w:rPr>
        <w:t>dipentén</w:t>
      </w:r>
      <w:proofErr w:type="spellEnd"/>
      <w:r w:rsidR="00A30556" w:rsidRPr="00A30556">
        <w:rPr>
          <w:b/>
          <w:szCs w:val="22"/>
          <w:lang w:val="sk-SK" w:eastAsia="sk-SK"/>
        </w:rPr>
        <w:t xml:space="preserve"> a </w:t>
      </w:r>
      <w:proofErr w:type="spellStart"/>
      <w:r w:rsidR="00A30556" w:rsidRPr="00A30556">
        <w:rPr>
          <w:b/>
          <w:szCs w:val="22"/>
          <w:lang w:val="sk-SK" w:eastAsia="sk-SK"/>
        </w:rPr>
        <w:t>terpinolén</w:t>
      </w:r>
      <w:proofErr w:type="spellEnd"/>
      <w:r w:rsidRPr="003A1F47">
        <w:rPr>
          <w:b/>
          <w:szCs w:val="22"/>
          <w:lang w:val="sk-SK" w:eastAsia="sk-SK"/>
        </w:rPr>
        <w:t>. Môže vyvolať alergickú reakciu.</w:t>
      </w:r>
    </w:p>
    <w:p w:rsidR="003A1F47" w:rsidRPr="003A1F47" w:rsidRDefault="003A1F47" w:rsidP="003A1F47">
      <w:pPr>
        <w:ind w:left="1418" w:hanging="1418"/>
        <w:rPr>
          <w:b/>
          <w:szCs w:val="22"/>
          <w:lang w:val="sk-SK" w:eastAsia="sk-SK"/>
        </w:rPr>
      </w:pPr>
      <w:r w:rsidRPr="003A1F47">
        <w:rPr>
          <w:b/>
          <w:szCs w:val="22"/>
          <w:lang w:val="sk-SK" w:eastAsia="sk-SK"/>
        </w:rPr>
        <w:t>EUH401</w:t>
      </w:r>
      <w:r w:rsidRPr="003A1F47">
        <w:rPr>
          <w:b/>
          <w:szCs w:val="22"/>
          <w:lang w:val="sk-SK" w:eastAsia="sk-SK"/>
        </w:rPr>
        <w:tab/>
        <w:t>Dodržiavajte návod na používanie, aby ste zabránili vzniku rizík pre zdravie ľudí a životné prostredie.</w:t>
      </w:r>
      <w:r w:rsidRPr="003A1F47">
        <w:rPr>
          <w:szCs w:val="22"/>
          <w:lang w:val="sk-SK" w:eastAsia="sk-SK"/>
        </w:rPr>
        <w:tab/>
      </w:r>
    </w:p>
    <w:p w:rsidR="003A1F47" w:rsidRPr="003A1F47" w:rsidRDefault="003A1F47" w:rsidP="003A1F47">
      <w:pPr>
        <w:ind w:left="1418" w:hanging="1418"/>
        <w:rPr>
          <w:szCs w:val="22"/>
          <w:lang w:val="sk-SK" w:eastAsia="sk-SK"/>
        </w:rPr>
      </w:pPr>
      <w:r w:rsidRPr="003A1F47">
        <w:rPr>
          <w:szCs w:val="22"/>
          <w:lang w:val="sk-SK" w:eastAsia="sk-SK"/>
        </w:rPr>
        <w:t>P280</w:t>
      </w:r>
      <w:r w:rsidRPr="003A1F47">
        <w:rPr>
          <w:szCs w:val="22"/>
          <w:lang w:val="sk-SK" w:eastAsia="sk-SK"/>
        </w:rPr>
        <w:tab/>
        <w:t>Noste ochranné rukavice/ochranný odev/ochranu očí/ochranu tváre.</w:t>
      </w:r>
    </w:p>
    <w:p w:rsidR="003A1F47" w:rsidRDefault="003A1F47" w:rsidP="003A1F47">
      <w:pPr>
        <w:ind w:left="1418" w:hanging="1418"/>
        <w:rPr>
          <w:szCs w:val="22"/>
          <w:lang w:val="sk-SK" w:eastAsia="sk-SK"/>
        </w:rPr>
      </w:pPr>
      <w:r w:rsidRPr="003A1F47">
        <w:rPr>
          <w:szCs w:val="22"/>
          <w:lang w:val="sk-SK" w:eastAsia="sk-SK"/>
        </w:rPr>
        <w:t xml:space="preserve">P305 + P351 </w:t>
      </w:r>
    </w:p>
    <w:p w:rsidR="003A1F47" w:rsidRPr="003A1F47" w:rsidRDefault="003A1F47" w:rsidP="003A1F47">
      <w:pPr>
        <w:ind w:left="1418" w:hanging="1418"/>
        <w:rPr>
          <w:szCs w:val="22"/>
          <w:lang w:val="sk-SK" w:eastAsia="sk-SK"/>
        </w:rPr>
      </w:pPr>
      <w:r w:rsidRPr="003A1F47">
        <w:rPr>
          <w:szCs w:val="22"/>
          <w:lang w:val="sk-SK" w:eastAsia="sk-SK"/>
        </w:rPr>
        <w:t>+ P338</w:t>
      </w:r>
      <w:r w:rsidRPr="003A1F47">
        <w:rPr>
          <w:szCs w:val="22"/>
          <w:lang w:val="sk-SK" w:eastAsia="sk-SK"/>
        </w:rPr>
        <w:tab/>
        <w:t>PO ZASIAHNUTÍ OČÍ: Niekoľko minút ich opatrne vyplachujte vodou. Ak používate kontaktné šošovky a ak je to možné, odstráňte ich. Pokračujte vo vyplachovaní.</w:t>
      </w:r>
    </w:p>
    <w:p w:rsidR="003A1F47" w:rsidRPr="003A1F47" w:rsidRDefault="003A1F47" w:rsidP="003A1F47">
      <w:pPr>
        <w:ind w:left="1418" w:hanging="1418"/>
        <w:rPr>
          <w:szCs w:val="22"/>
          <w:lang w:val="sk-SK" w:eastAsia="sk-SK"/>
        </w:rPr>
      </w:pPr>
      <w:r w:rsidRPr="003A1F47">
        <w:rPr>
          <w:szCs w:val="22"/>
          <w:lang w:val="sk-SK" w:eastAsia="sk-SK"/>
        </w:rPr>
        <w:t>P337 + P313</w:t>
      </w:r>
      <w:r w:rsidRPr="003A1F47">
        <w:rPr>
          <w:szCs w:val="22"/>
          <w:lang w:val="sk-SK" w:eastAsia="sk-SK"/>
        </w:rPr>
        <w:tab/>
        <w:t>Ak podráždenie očí pretrváva: vyhľadajte lekársku pomoc.</w:t>
      </w:r>
    </w:p>
    <w:p w:rsidR="003A1F47" w:rsidRPr="003A1F47" w:rsidRDefault="003A1F47" w:rsidP="003A1F47">
      <w:pPr>
        <w:ind w:left="1418" w:hanging="1418"/>
        <w:rPr>
          <w:szCs w:val="22"/>
          <w:lang w:val="sk-SK" w:eastAsia="sk-SK"/>
        </w:rPr>
      </w:pPr>
      <w:r w:rsidRPr="003A1F47">
        <w:rPr>
          <w:szCs w:val="22"/>
          <w:lang w:val="sk-SK" w:eastAsia="sk-SK"/>
        </w:rPr>
        <w:t>P273</w:t>
      </w:r>
      <w:r w:rsidRPr="003A1F47">
        <w:rPr>
          <w:szCs w:val="22"/>
          <w:lang w:val="sk-SK" w:eastAsia="sk-SK"/>
        </w:rPr>
        <w:tab/>
        <w:t>Zabráňte uvoľneniu do životného prostredia.</w:t>
      </w:r>
    </w:p>
    <w:p w:rsidR="00A56C91" w:rsidRPr="003A1F47" w:rsidRDefault="003A1F47" w:rsidP="003A1F47">
      <w:pPr>
        <w:ind w:left="1418" w:hanging="1418"/>
        <w:rPr>
          <w:szCs w:val="22"/>
          <w:lang w:val="sk-SK" w:eastAsia="sk-SK"/>
        </w:rPr>
      </w:pPr>
      <w:r w:rsidRPr="003A1F47">
        <w:rPr>
          <w:szCs w:val="22"/>
          <w:lang w:val="sk-SK" w:eastAsia="sk-SK"/>
        </w:rPr>
        <w:t>P501</w:t>
      </w:r>
      <w:r w:rsidRPr="003A1F47">
        <w:rPr>
          <w:szCs w:val="22"/>
          <w:lang w:val="sk-SK" w:eastAsia="sk-SK"/>
        </w:rPr>
        <w:tab/>
      </w:r>
      <w:r w:rsidR="0038197E" w:rsidRPr="0038197E">
        <w:rPr>
          <w:szCs w:val="22"/>
          <w:lang w:val="sk-SK" w:eastAsia="sk-SK"/>
        </w:rPr>
        <w:t>Zneškodnite obsah/nádobu</w:t>
      </w:r>
      <w:r w:rsidR="00A301D2">
        <w:rPr>
          <w:szCs w:val="22"/>
          <w:lang w:val="sk-SK" w:eastAsia="sk-SK"/>
        </w:rPr>
        <w:t xml:space="preserve"> </w:t>
      </w:r>
      <w:r w:rsidRPr="003A1F47">
        <w:rPr>
          <w:szCs w:val="22"/>
          <w:lang w:val="sk-SK" w:eastAsia="sk-SK"/>
        </w:rPr>
        <w:t>ako nebezpečný odpad.</w:t>
      </w:r>
    </w:p>
    <w:p w:rsidR="00A56C91" w:rsidRDefault="00A56C91" w:rsidP="00A56C91">
      <w:pPr>
        <w:overflowPunct w:val="0"/>
        <w:adjustRightInd w:val="0"/>
        <w:jc w:val="both"/>
        <w:textAlignment w:val="baseline"/>
        <w:rPr>
          <w:lang w:val="sk-SK" w:eastAsia="en-US"/>
        </w:rPr>
      </w:pPr>
    </w:p>
    <w:p w:rsidR="003A1F47" w:rsidRPr="003A1F47" w:rsidRDefault="003A1F47" w:rsidP="003A1F47">
      <w:pPr>
        <w:overflowPunct w:val="0"/>
        <w:adjustRightInd w:val="0"/>
        <w:ind w:left="709" w:hanging="709"/>
        <w:jc w:val="both"/>
        <w:textAlignment w:val="baseline"/>
        <w:rPr>
          <w:b/>
          <w:lang w:val="sk-SK" w:eastAsia="en-US"/>
        </w:rPr>
      </w:pPr>
      <w:r w:rsidRPr="003A1F47">
        <w:rPr>
          <w:b/>
          <w:lang w:val="sk-SK" w:eastAsia="en-US"/>
        </w:rPr>
        <w:t>SP1</w:t>
      </w:r>
      <w:r w:rsidRPr="003A1F47">
        <w:rPr>
          <w:b/>
          <w:lang w:val="sk-SK" w:eastAsia="en-US"/>
        </w:rPr>
        <w:tab/>
        <w:t>Neznečisťujte vodu prípravkom alebo jeho obalom (Nečistite aplikačné zariadenie v blízkosti povrchových vôd/Zabráňte kontaminácii prostredníctvom odtokových kanálov z poľnohospodárskych dvorov a vozoviek).</w:t>
      </w:r>
    </w:p>
    <w:p w:rsidR="003A1F47" w:rsidRPr="002F70D5" w:rsidRDefault="003A1F47" w:rsidP="003A1F47">
      <w:pPr>
        <w:jc w:val="both"/>
        <w:rPr>
          <w:b/>
          <w:noProof/>
          <w:lang w:val="sk-SK" w:eastAsia="en-US"/>
        </w:rPr>
      </w:pPr>
      <w:r w:rsidRPr="002F70D5">
        <w:rPr>
          <w:b/>
          <w:noProof/>
          <w:lang w:val="sk-SK" w:eastAsia="en-US"/>
        </w:rPr>
        <w:t>Dbajte o to, aby sa prípravok v žiadnom prípade nedostal do tečúcich a stojatých vôd vo voľnej prírode!</w:t>
      </w:r>
    </w:p>
    <w:p w:rsidR="00500466" w:rsidRDefault="00500466" w:rsidP="00500466">
      <w:pPr>
        <w:outlineLvl w:val="0"/>
        <w:rPr>
          <w:b/>
          <w:lang w:val="sk-SK"/>
        </w:rPr>
      </w:pPr>
      <w:r w:rsidRPr="009F7DB5">
        <w:rPr>
          <w:b/>
          <w:lang w:val="sk-SK"/>
        </w:rPr>
        <w:t>Pred použitím prípravku si dôkladne prečítajte návod na použitie!</w:t>
      </w:r>
    </w:p>
    <w:p w:rsidR="00A56C91" w:rsidRPr="00A90C7F" w:rsidRDefault="00A56C91" w:rsidP="00A56C91">
      <w:pPr>
        <w:jc w:val="both"/>
        <w:rPr>
          <w:b/>
          <w:noProof/>
          <w:lang w:val="sk-SK" w:eastAsia="en-US"/>
        </w:rPr>
      </w:pPr>
      <w:r w:rsidRPr="00A90C7F">
        <w:rPr>
          <w:b/>
          <w:noProof/>
          <w:lang w:val="sk-SK" w:eastAsia="en-US"/>
        </w:rPr>
        <w:t>Uložte mimo dosahu zvierat!</w:t>
      </w:r>
    </w:p>
    <w:p w:rsidR="002F70D5" w:rsidRPr="002F70D5" w:rsidRDefault="002F70D5" w:rsidP="00500466">
      <w:pPr>
        <w:widowControl w:val="0"/>
        <w:autoSpaceDE w:val="0"/>
        <w:autoSpaceDN w:val="0"/>
        <w:jc w:val="both"/>
        <w:rPr>
          <w:b/>
          <w:lang w:val="sk-SK"/>
        </w:rPr>
      </w:pPr>
      <w:r w:rsidRPr="00A90C7F">
        <w:rPr>
          <w:b/>
          <w:lang w:val="sk-SK"/>
        </w:rPr>
        <w:t>V kombinácii s prípravkom na ochranu rastlín sa uplatňuje prísnejšia klasifikácia!</w:t>
      </w:r>
    </w:p>
    <w:p w:rsidR="00D0120A" w:rsidRDefault="00D0120A">
      <w:pPr>
        <w:rPr>
          <w:color w:val="FF0000"/>
          <w:lang w:val="sk-SK"/>
        </w:rPr>
      </w:pPr>
    </w:p>
    <w:tbl>
      <w:tblPr>
        <w:tblW w:w="0" w:type="auto"/>
        <w:tblInd w:w="-34" w:type="dxa"/>
        <w:tblLook w:val="00A0" w:firstRow="1" w:lastRow="0" w:firstColumn="1" w:lastColumn="0" w:noHBand="0" w:noVBand="0"/>
      </w:tblPr>
      <w:tblGrid>
        <w:gridCol w:w="3479"/>
        <w:gridCol w:w="5343"/>
      </w:tblGrid>
      <w:tr w:rsidR="00D0120A" w:rsidRPr="00D802B4" w:rsidTr="00A90C7F">
        <w:tc>
          <w:tcPr>
            <w:tcW w:w="3559" w:type="dxa"/>
            <w:shd w:val="clear" w:color="auto" w:fill="auto"/>
          </w:tcPr>
          <w:p w:rsidR="00D0120A" w:rsidRPr="00D802B4" w:rsidRDefault="00D0120A" w:rsidP="00BD4BB5">
            <w:pPr>
              <w:rPr>
                <w:b/>
                <w:bCs/>
                <w:lang w:val="sk-SK"/>
              </w:rPr>
            </w:pPr>
            <w:r w:rsidRPr="00D802B4">
              <w:rPr>
                <w:b/>
                <w:bCs/>
                <w:lang w:val="sk-SK"/>
              </w:rPr>
              <w:t xml:space="preserve">Držiteľ autorizácie: </w:t>
            </w:r>
          </w:p>
        </w:tc>
        <w:tc>
          <w:tcPr>
            <w:tcW w:w="5479" w:type="dxa"/>
            <w:tcBorders>
              <w:left w:val="nil"/>
            </w:tcBorders>
            <w:shd w:val="clear" w:color="auto" w:fill="auto"/>
          </w:tcPr>
          <w:p w:rsidR="00C400D3" w:rsidRDefault="00BD4BB5" w:rsidP="00BD4BB5">
            <w:pPr>
              <w:widowControl w:val="0"/>
              <w:autoSpaceDE w:val="0"/>
              <w:autoSpaceDN w:val="0"/>
              <w:adjustRightInd w:val="0"/>
              <w:rPr>
                <w:bCs/>
                <w:lang w:val="es-ES" w:eastAsia="es-ES"/>
              </w:rPr>
            </w:pPr>
            <w:r w:rsidRPr="00BD4BB5">
              <w:rPr>
                <w:bCs/>
                <w:lang w:val="es-ES" w:eastAsia="es-ES"/>
              </w:rPr>
              <w:t>Action Pin</w:t>
            </w:r>
            <w:r w:rsidR="00C400D3">
              <w:rPr>
                <w:bCs/>
                <w:lang w:val="es-ES" w:eastAsia="es-ES"/>
              </w:rPr>
              <w:t>, 30 rue Gambetta, 40100 Dax, Francúzska republika</w:t>
            </w:r>
          </w:p>
          <w:p w:rsidR="00C400D3" w:rsidRDefault="00C400D3" w:rsidP="00BD4BB5">
            <w:pPr>
              <w:widowControl w:val="0"/>
              <w:autoSpaceDE w:val="0"/>
              <w:autoSpaceDN w:val="0"/>
              <w:adjustRightInd w:val="0"/>
              <w:rPr>
                <w:bCs/>
                <w:lang w:val="es-ES" w:eastAsia="es-ES"/>
              </w:rPr>
            </w:pPr>
            <w:r>
              <w:rPr>
                <w:bCs/>
                <w:lang w:val="es-ES" w:eastAsia="es-ES"/>
              </w:rPr>
              <w:lastRenderedPageBreak/>
              <w:t>Korešpondenčná adresa:</w:t>
            </w:r>
          </w:p>
          <w:p w:rsidR="00D0120A" w:rsidRPr="00C400D3" w:rsidRDefault="00C400D3" w:rsidP="00F34073">
            <w:pPr>
              <w:widowControl w:val="0"/>
              <w:autoSpaceDE w:val="0"/>
              <w:autoSpaceDN w:val="0"/>
              <w:adjustRightInd w:val="0"/>
              <w:rPr>
                <w:bCs/>
                <w:lang w:val="es-ES" w:eastAsia="es-ES"/>
              </w:rPr>
            </w:pPr>
            <w:r w:rsidRPr="00BD4BB5">
              <w:rPr>
                <w:bCs/>
                <w:lang w:val="es-ES" w:eastAsia="es-ES"/>
              </w:rPr>
              <w:t>Action Pin</w:t>
            </w:r>
            <w:r>
              <w:rPr>
                <w:bCs/>
                <w:lang w:val="es-ES" w:eastAsia="es-ES"/>
              </w:rPr>
              <w:t xml:space="preserve">, </w:t>
            </w:r>
            <w:r w:rsidR="00BD4BB5" w:rsidRPr="00BD4BB5">
              <w:rPr>
                <w:bCs/>
                <w:lang w:val="es-ES" w:eastAsia="es-ES"/>
              </w:rPr>
              <w:t>ZI de Cazalieu – CS 60030</w:t>
            </w:r>
            <w:r>
              <w:rPr>
                <w:bCs/>
                <w:lang w:val="es-ES" w:eastAsia="es-ES"/>
              </w:rPr>
              <w:t xml:space="preserve">, </w:t>
            </w:r>
            <w:r w:rsidR="00BD4BB5" w:rsidRPr="00BD4BB5">
              <w:rPr>
                <w:bCs/>
                <w:lang w:val="es-ES" w:eastAsia="es-ES"/>
              </w:rPr>
              <w:t>40260 CASTETS</w:t>
            </w:r>
            <w:r>
              <w:rPr>
                <w:bCs/>
                <w:lang w:val="es-ES" w:eastAsia="es-ES"/>
              </w:rPr>
              <w:t xml:space="preserve">, </w:t>
            </w:r>
            <w:r w:rsidR="00F34073">
              <w:rPr>
                <w:bCs/>
                <w:lang w:val="es-ES" w:eastAsia="es-ES"/>
              </w:rPr>
              <w:t>Francúzska republika</w:t>
            </w:r>
          </w:p>
        </w:tc>
      </w:tr>
      <w:tr w:rsidR="00D0120A" w:rsidRPr="00D802B4" w:rsidTr="00A90C7F">
        <w:tc>
          <w:tcPr>
            <w:tcW w:w="3559" w:type="dxa"/>
            <w:shd w:val="clear" w:color="auto" w:fill="auto"/>
          </w:tcPr>
          <w:p w:rsidR="00D0120A" w:rsidRPr="00D802B4" w:rsidRDefault="00D0120A" w:rsidP="0048000D">
            <w:pPr>
              <w:jc w:val="right"/>
              <w:rPr>
                <w:b/>
                <w:bCs/>
                <w:lang w:val="sk-SK"/>
              </w:rPr>
            </w:pPr>
          </w:p>
        </w:tc>
        <w:tc>
          <w:tcPr>
            <w:tcW w:w="5479" w:type="dxa"/>
            <w:tcBorders>
              <w:left w:val="nil"/>
            </w:tcBorders>
            <w:shd w:val="clear" w:color="auto" w:fill="auto"/>
          </w:tcPr>
          <w:p w:rsidR="00D0120A" w:rsidRPr="00D0120A" w:rsidRDefault="00D0120A" w:rsidP="0048000D">
            <w:pPr>
              <w:tabs>
                <w:tab w:val="left" w:pos="3969"/>
              </w:tabs>
              <w:rPr>
                <w:bCs/>
                <w:color w:val="A6A6A6"/>
                <w:lang w:val="sk-SK"/>
              </w:rPr>
            </w:pPr>
          </w:p>
        </w:tc>
      </w:tr>
      <w:tr w:rsidR="00D0120A" w:rsidRPr="00D802B4" w:rsidTr="00A90C7F">
        <w:tc>
          <w:tcPr>
            <w:tcW w:w="3559" w:type="dxa"/>
            <w:shd w:val="clear" w:color="auto" w:fill="auto"/>
          </w:tcPr>
          <w:p w:rsidR="00D0120A" w:rsidRPr="005D2907" w:rsidRDefault="00BD4BB5" w:rsidP="0048000D">
            <w:pPr>
              <w:rPr>
                <w:b/>
                <w:bCs/>
                <w:lang w:val="sk-SK"/>
              </w:rPr>
            </w:pPr>
            <w:r w:rsidRPr="005D2907">
              <w:rPr>
                <w:b/>
                <w:bCs/>
                <w:lang w:val="sk-SK"/>
              </w:rPr>
              <w:t>Číslo autorizácie ÚKSÚP</w:t>
            </w:r>
            <w:r w:rsidRPr="005D2907">
              <w:rPr>
                <w:lang w:val="sk-SK"/>
              </w:rPr>
              <w:t xml:space="preserve">:    </w:t>
            </w:r>
          </w:p>
        </w:tc>
        <w:tc>
          <w:tcPr>
            <w:tcW w:w="5479" w:type="dxa"/>
            <w:tcBorders>
              <w:left w:val="nil"/>
            </w:tcBorders>
            <w:shd w:val="clear" w:color="auto" w:fill="auto"/>
          </w:tcPr>
          <w:p w:rsidR="00650128" w:rsidRPr="005D2907" w:rsidRDefault="00D52EBB" w:rsidP="0048000D">
            <w:pPr>
              <w:tabs>
                <w:tab w:val="left" w:pos="3969"/>
              </w:tabs>
              <w:rPr>
                <w:bCs/>
                <w:lang w:val="sk-SK"/>
              </w:rPr>
            </w:pPr>
            <w:r w:rsidRPr="005D2907">
              <w:rPr>
                <w:bCs/>
                <w:lang w:val="sk-SK"/>
              </w:rPr>
              <w:t>17-00107-PM</w:t>
            </w:r>
          </w:p>
        </w:tc>
      </w:tr>
      <w:tr w:rsidR="00D0120A" w:rsidRPr="00D802B4" w:rsidTr="00A90C7F">
        <w:tc>
          <w:tcPr>
            <w:tcW w:w="9038" w:type="dxa"/>
            <w:gridSpan w:val="2"/>
            <w:shd w:val="clear" w:color="auto" w:fill="auto"/>
          </w:tcPr>
          <w:p w:rsidR="00D0120A" w:rsidRPr="00D802B4" w:rsidRDefault="00D0120A" w:rsidP="0048000D">
            <w:pPr>
              <w:tabs>
                <w:tab w:val="left" w:pos="3969"/>
              </w:tabs>
              <w:rPr>
                <w:b/>
                <w:bCs/>
                <w:lang w:val="sk-SK"/>
              </w:rPr>
            </w:pPr>
          </w:p>
        </w:tc>
      </w:tr>
      <w:tr w:rsidR="00D0120A" w:rsidRPr="00D802B4" w:rsidTr="00A90C7F">
        <w:tc>
          <w:tcPr>
            <w:tcW w:w="3559" w:type="dxa"/>
            <w:shd w:val="clear" w:color="auto" w:fill="auto"/>
          </w:tcPr>
          <w:p w:rsidR="00D0120A" w:rsidRPr="00D0120A" w:rsidRDefault="00BD4BB5" w:rsidP="00D0120A">
            <w:pPr>
              <w:rPr>
                <w:b/>
                <w:bCs/>
                <w:color w:val="A6A6A6"/>
                <w:lang w:val="sk-SK"/>
              </w:rPr>
            </w:pPr>
            <w:r w:rsidRPr="00D802B4">
              <w:rPr>
                <w:b/>
                <w:bCs/>
                <w:lang w:val="sk-SK"/>
              </w:rPr>
              <w:t>Dátum výroby</w:t>
            </w:r>
            <w:r w:rsidRPr="00D802B4">
              <w:rPr>
                <w:lang w:val="sk-SK"/>
              </w:rPr>
              <w:t>:</w:t>
            </w:r>
          </w:p>
        </w:tc>
        <w:tc>
          <w:tcPr>
            <w:tcW w:w="5479" w:type="dxa"/>
            <w:tcBorders>
              <w:left w:val="nil"/>
            </w:tcBorders>
            <w:shd w:val="clear" w:color="auto" w:fill="auto"/>
          </w:tcPr>
          <w:p w:rsidR="00D0120A" w:rsidRPr="00D0120A" w:rsidRDefault="00BD4BB5" w:rsidP="0048000D">
            <w:pPr>
              <w:tabs>
                <w:tab w:val="left" w:pos="3969"/>
              </w:tabs>
              <w:rPr>
                <w:b/>
                <w:bCs/>
                <w:color w:val="A6A6A6"/>
                <w:lang w:val="sk-SK"/>
              </w:rPr>
            </w:pPr>
            <w:r w:rsidRPr="00D802B4">
              <w:rPr>
                <w:lang w:val="sk-SK"/>
              </w:rPr>
              <w:t>uvedené na obale</w:t>
            </w:r>
          </w:p>
        </w:tc>
      </w:tr>
      <w:tr w:rsidR="00BD4BB5" w:rsidRPr="00D802B4" w:rsidTr="00A90C7F">
        <w:tc>
          <w:tcPr>
            <w:tcW w:w="3559" w:type="dxa"/>
            <w:shd w:val="clear" w:color="auto" w:fill="auto"/>
          </w:tcPr>
          <w:p w:rsidR="00BD4BB5" w:rsidRPr="00D802B4" w:rsidRDefault="00BD4BB5" w:rsidP="00BD4BB5">
            <w:pPr>
              <w:tabs>
                <w:tab w:val="left" w:pos="3969"/>
              </w:tabs>
              <w:rPr>
                <w:b/>
                <w:bCs/>
                <w:lang w:val="sk-SK"/>
              </w:rPr>
            </w:pPr>
            <w:r w:rsidRPr="00D802B4">
              <w:rPr>
                <w:b/>
                <w:bCs/>
                <w:lang w:val="sk-SK"/>
              </w:rPr>
              <w:t xml:space="preserve">Číslo </w:t>
            </w:r>
            <w:r>
              <w:rPr>
                <w:b/>
                <w:bCs/>
                <w:lang w:val="sk-SK"/>
              </w:rPr>
              <w:t xml:space="preserve">výrobnej </w:t>
            </w:r>
            <w:r w:rsidRPr="00D802B4">
              <w:rPr>
                <w:b/>
                <w:bCs/>
                <w:lang w:val="sk-SK"/>
              </w:rPr>
              <w:t>šarže</w:t>
            </w:r>
            <w:r w:rsidRPr="00D802B4">
              <w:rPr>
                <w:lang w:val="sk-SK"/>
              </w:rPr>
              <w:t>:</w:t>
            </w:r>
          </w:p>
        </w:tc>
        <w:tc>
          <w:tcPr>
            <w:tcW w:w="5479" w:type="dxa"/>
            <w:tcBorders>
              <w:left w:val="nil"/>
            </w:tcBorders>
            <w:shd w:val="clear" w:color="auto" w:fill="auto"/>
          </w:tcPr>
          <w:p w:rsidR="00BD4BB5" w:rsidRPr="00D802B4" w:rsidRDefault="00BD4BB5" w:rsidP="00BD4BB5">
            <w:pPr>
              <w:tabs>
                <w:tab w:val="left" w:pos="3969"/>
              </w:tabs>
              <w:rPr>
                <w:b/>
                <w:bCs/>
                <w:lang w:val="sk-SK"/>
              </w:rPr>
            </w:pPr>
            <w:r w:rsidRPr="00D802B4">
              <w:rPr>
                <w:lang w:val="sk-SK"/>
              </w:rPr>
              <w:t>uvedené na obale</w:t>
            </w:r>
          </w:p>
        </w:tc>
      </w:tr>
      <w:tr w:rsidR="00BD4BB5" w:rsidRPr="00D802B4" w:rsidTr="00A90C7F">
        <w:tc>
          <w:tcPr>
            <w:tcW w:w="3559" w:type="dxa"/>
            <w:shd w:val="clear" w:color="auto" w:fill="auto"/>
          </w:tcPr>
          <w:p w:rsidR="00BD4BB5" w:rsidRPr="00D802B4" w:rsidRDefault="00BD4BB5" w:rsidP="00BD4BB5">
            <w:pPr>
              <w:tabs>
                <w:tab w:val="left" w:pos="3969"/>
              </w:tabs>
              <w:rPr>
                <w:b/>
                <w:bCs/>
                <w:lang w:val="sk-SK"/>
              </w:rPr>
            </w:pPr>
          </w:p>
        </w:tc>
        <w:tc>
          <w:tcPr>
            <w:tcW w:w="5479" w:type="dxa"/>
            <w:tcBorders>
              <w:left w:val="nil"/>
            </w:tcBorders>
            <w:shd w:val="clear" w:color="auto" w:fill="auto"/>
          </w:tcPr>
          <w:p w:rsidR="00BD4BB5" w:rsidRPr="00D0120A" w:rsidRDefault="00BD4BB5" w:rsidP="00BD4BB5">
            <w:pPr>
              <w:tabs>
                <w:tab w:val="left" w:pos="3969"/>
              </w:tabs>
              <w:rPr>
                <w:b/>
                <w:color w:val="A6A6A6"/>
                <w:sz w:val="28"/>
                <w:szCs w:val="28"/>
                <w:lang w:val="sk-SK"/>
              </w:rPr>
            </w:pPr>
          </w:p>
        </w:tc>
      </w:tr>
      <w:tr w:rsidR="00BD4BB5" w:rsidRPr="00D802B4" w:rsidTr="00A90C7F">
        <w:tc>
          <w:tcPr>
            <w:tcW w:w="3559" w:type="dxa"/>
            <w:shd w:val="clear" w:color="auto" w:fill="auto"/>
          </w:tcPr>
          <w:p w:rsidR="00BD4BB5" w:rsidRDefault="00BD4BB5" w:rsidP="00BD4BB5">
            <w:pPr>
              <w:tabs>
                <w:tab w:val="left" w:pos="3969"/>
              </w:tabs>
              <w:rPr>
                <w:b/>
                <w:bCs/>
                <w:lang w:val="sk-SK"/>
              </w:rPr>
            </w:pPr>
            <w:r w:rsidRPr="005B27AB">
              <w:rPr>
                <w:b/>
                <w:bCs/>
                <w:lang w:val="sk-SK"/>
              </w:rPr>
              <w:t>Balenie</w:t>
            </w:r>
            <w:r>
              <w:rPr>
                <w:b/>
                <w:bCs/>
                <w:lang w:val="sk-SK"/>
              </w:rPr>
              <w:t xml:space="preserve">: </w:t>
            </w:r>
          </w:p>
          <w:p w:rsidR="00BD4BB5" w:rsidRPr="00D802B4" w:rsidRDefault="00BD4BB5" w:rsidP="00BD4BB5">
            <w:pPr>
              <w:tabs>
                <w:tab w:val="left" w:pos="3969"/>
              </w:tabs>
              <w:rPr>
                <w:b/>
                <w:bCs/>
                <w:lang w:val="sk-SK"/>
              </w:rPr>
            </w:pPr>
          </w:p>
        </w:tc>
        <w:tc>
          <w:tcPr>
            <w:tcW w:w="5479" w:type="dxa"/>
            <w:tcBorders>
              <w:left w:val="nil"/>
            </w:tcBorders>
            <w:shd w:val="clear" w:color="auto" w:fill="auto"/>
          </w:tcPr>
          <w:p w:rsidR="00BD4BB5" w:rsidRPr="00765145" w:rsidRDefault="00BD4BB5" w:rsidP="00BD4BB5">
            <w:pPr>
              <w:tabs>
                <w:tab w:val="left" w:pos="3969"/>
              </w:tabs>
            </w:pPr>
            <w:r w:rsidRPr="00765145">
              <w:t xml:space="preserve">1 l  </w:t>
            </w:r>
            <w:proofErr w:type="spellStart"/>
            <w:r w:rsidRPr="00765145">
              <w:t>alebo</w:t>
            </w:r>
            <w:proofErr w:type="spellEnd"/>
            <w:r w:rsidRPr="00765145">
              <w:t xml:space="preserve"> 5 l PET </w:t>
            </w:r>
            <w:proofErr w:type="spellStart"/>
            <w:r w:rsidRPr="00765145">
              <w:t>fľaša</w:t>
            </w:r>
            <w:proofErr w:type="spellEnd"/>
            <w:r w:rsidRPr="00765145">
              <w:t xml:space="preserve">, </w:t>
            </w:r>
          </w:p>
          <w:p w:rsidR="00BD4BB5" w:rsidRPr="00D802B4" w:rsidRDefault="00BD4BB5" w:rsidP="00BD4BB5">
            <w:pPr>
              <w:tabs>
                <w:tab w:val="left" w:pos="3969"/>
              </w:tabs>
              <w:rPr>
                <w:b/>
                <w:bCs/>
                <w:lang w:val="sk-SK"/>
              </w:rPr>
            </w:pPr>
            <w:r w:rsidRPr="00765145">
              <w:t xml:space="preserve">5 l  </w:t>
            </w:r>
            <w:proofErr w:type="spellStart"/>
            <w:r w:rsidRPr="00765145">
              <w:t>alebo</w:t>
            </w:r>
            <w:proofErr w:type="spellEnd"/>
            <w:r w:rsidRPr="00765145">
              <w:t xml:space="preserve">  20 l HDPE </w:t>
            </w:r>
            <w:proofErr w:type="spellStart"/>
            <w:r w:rsidRPr="00765145">
              <w:t>kanister</w:t>
            </w:r>
            <w:proofErr w:type="spellEnd"/>
            <w:r w:rsidRPr="0085433C">
              <w:rPr>
                <w:rStyle w:val="FontStyle28"/>
                <w:rFonts w:ascii="Calibri" w:hAnsi="Calibri"/>
                <w:lang w:val="sk-SK"/>
              </w:rPr>
              <w:t xml:space="preserve">  </w:t>
            </w:r>
          </w:p>
        </w:tc>
      </w:tr>
    </w:tbl>
    <w:p w:rsidR="00D0120A" w:rsidRPr="00BD4BB5" w:rsidRDefault="00D0120A" w:rsidP="00D0120A">
      <w:pPr>
        <w:tabs>
          <w:tab w:val="left" w:pos="3969"/>
        </w:tabs>
        <w:ind w:left="3969" w:hanging="3969"/>
        <w:jc w:val="both"/>
        <w:rPr>
          <w:lang w:val="sk-SK"/>
        </w:rPr>
      </w:pPr>
      <w:r w:rsidRPr="00BD4BB5">
        <w:rPr>
          <w:vertAlign w:val="superscript"/>
          <w:lang w:val="sk-SK"/>
        </w:rPr>
        <w:t xml:space="preserve">(R) </w:t>
      </w:r>
      <w:r w:rsidRPr="00BD4BB5">
        <w:rPr>
          <w:lang w:val="sk-SK"/>
        </w:rPr>
        <w:t>je ochranná známka firmy</w:t>
      </w:r>
    </w:p>
    <w:p w:rsidR="00D0120A" w:rsidRDefault="00D0120A" w:rsidP="00500466">
      <w:pPr>
        <w:rPr>
          <w:rFonts w:ascii="Garamond" w:hAnsi="Garamond"/>
          <w:color w:val="FF0000"/>
          <w:lang w:val="sk-SK"/>
        </w:rPr>
      </w:pPr>
    </w:p>
    <w:p w:rsidR="00DC4C43" w:rsidRDefault="00DC4C43" w:rsidP="00500466">
      <w:pPr>
        <w:rPr>
          <w:rFonts w:ascii="Garamond" w:hAnsi="Garamond"/>
          <w:color w:val="FF0000"/>
          <w:lang w:val="sk-SK"/>
        </w:rPr>
      </w:pPr>
    </w:p>
    <w:p w:rsidR="000E40AB" w:rsidRPr="009F7DB5" w:rsidRDefault="000E40AB" w:rsidP="002F70D5">
      <w:pPr>
        <w:spacing w:after="120"/>
        <w:outlineLvl w:val="0"/>
        <w:rPr>
          <w:b/>
          <w:lang w:val="sk-SK"/>
        </w:rPr>
      </w:pPr>
      <w:r w:rsidRPr="009F7DB5">
        <w:rPr>
          <w:b/>
          <w:caps/>
          <w:lang w:val="sk-SK"/>
        </w:rPr>
        <w:t>Návod na použitie</w:t>
      </w:r>
    </w:p>
    <w:tbl>
      <w:tblPr>
        <w:tblW w:w="9062" w:type="dxa"/>
        <w:tblInd w:w="8" w:type="dxa"/>
        <w:tblCellMar>
          <w:left w:w="0" w:type="dxa"/>
          <w:right w:w="0" w:type="dxa"/>
        </w:tblCellMar>
        <w:tblLook w:val="04A0" w:firstRow="1" w:lastRow="0" w:firstColumn="1" w:lastColumn="0" w:noHBand="0" w:noVBand="1"/>
      </w:tblPr>
      <w:tblGrid>
        <w:gridCol w:w="1732"/>
        <w:gridCol w:w="2788"/>
        <w:gridCol w:w="1774"/>
        <w:gridCol w:w="1392"/>
        <w:gridCol w:w="1376"/>
      </w:tblGrid>
      <w:tr w:rsidR="000E40AB" w:rsidRPr="009F7DB5" w:rsidTr="00BD4BB5">
        <w:trPr>
          <w:cantSplit/>
          <w:trHeight w:val="20"/>
        </w:trPr>
        <w:tc>
          <w:tcPr>
            <w:tcW w:w="1732" w:type="dxa"/>
            <w:tcBorders>
              <w:top w:val="single" w:sz="8" w:space="0" w:color="auto"/>
              <w:left w:val="single" w:sz="8" w:space="0" w:color="auto"/>
              <w:bottom w:val="single" w:sz="4" w:space="0" w:color="auto"/>
              <w:right w:val="single" w:sz="8" w:space="0" w:color="auto"/>
            </w:tcBorders>
            <w:shd w:val="clear" w:color="auto" w:fill="E0E0E0"/>
            <w:tcMar>
              <w:top w:w="0" w:type="dxa"/>
              <w:left w:w="57" w:type="dxa"/>
              <w:bottom w:w="0" w:type="dxa"/>
              <w:right w:w="57" w:type="dxa"/>
            </w:tcMar>
          </w:tcPr>
          <w:p w:rsidR="000E40AB" w:rsidRPr="009F7DB5" w:rsidRDefault="000E40AB" w:rsidP="003A1F47">
            <w:pPr>
              <w:autoSpaceDE w:val="0"/>
              <w:autoSpaceDN w:val="0"/>
              <w:ind w:right="57"/>
              <w:rPr>
                <w:rFonts w:ascii="Calibri" w:eastAsia="Calibri" w:hAnsi="Calibri"/>
                <w:b/>
                <w:bCs/>
                <w:lang w:val="sk-SK"/>
              </w:rPr>
            </w:pPr>
            <w:r w:rsidRPr="009F7DB5">
              <w:rPr>
                <w:b/>
                <w:bCs/>
                <w:lang w:val="sk-SK"/>
              </w:rPr>
              <w:t>Plodina</w:t>
            </w:r>
          </w:p>
        </w:tc>
        <w:tc>
          <w:tcPr>
            <w:tcW w:w="2788" w:type="dxa"/>
            <w:tcBorders>
              <w:top w:val="single" w:sz="8" w:space="0" w:color="auto"/>
              <w:left w:val="nil"/>
              <w:bottom w:val="single" w:sz="4" w:space="0" w:color="auto"/>
              <w:right w:val="single" w:sz="8" w:space="0" w:color="auto"/>
            </w:tcBorders>
            <w:shd w:val="clear" w:color="auto" w:fill="E0E0E0"/>
            <w:tcMar>
              <w:top w:w="0" w:type="dxa"/>
              <w:left w:w="57" w:type="dxa"/>
              <w:bottom w:w="0" w:type="dxa"/>
              <w:right w:w="57" w:type="dxa"/>
            </w:tcMar>
          </w:tcPr>
          <w:p w:rsidR="000E40AB" w:rsidRPr="009F7DB5" w:rsidRDefault="000E40AB" w:rsidP="003A1F47">
            <w:pPr>
              <w:autoSpaceDE w:val="0"/>
              <w:autoSpaceDN w:val="0"/>
              <w:ind w:right="57"/>
              <w:rPr>
                <w:rFonts w:ascii="Calibri" w:eastAsia="Calibri" w:hAnsi="Calibri"/>
                <w:b/>
                <w:bCs/>
                <w:lang w:val="sk-SK"/>
              </w:rPr>
            </w:pPr>
            <w:r w:rsidRPr="009F7DB5">
              <w:rPr>
                <w:b/>
                <w:bCs/>
                <w:lang w:val="sk-SK"/>
              </w:rPr>
              <w:t>Účel použitia</w:t>
            </w:r>
          </w:p>
        </w:tc>
        <w:tc>
          <w:tcPr>
            <w:tcW w:w="1774" w:type="dxa"/>
            <w:tcBorders>
              <w:top w:val="single" w:sz="8" w:space="0" w:color="auto"/>
              <w:left w:val="nil"/>
              <w:bottom w:val="single" w:sz="4" w:space="0" w:color="auto"/>
              <w:right w:val="single" w:sz="8" w:space="0" w:color="auto"/>
            </w:tcBorders>
            <w:shd w:val="clear" w:color="auto" w:fill="E0E0E0"/>
            <w:tcMar>
              <w:top w:w="0" w:type="dxa"/>
              <w:left w:w="57" w:type="dxa"/>
              <w:bottom w:w="0" w:type="dxa"/>
              <w:right w:w="57" w:type="dxa"/>
            </w:tcMar>
          </w:tcPr>
          <w:p w:rsidR="000E40AB" w:rsidRPr="009F7DB5" w:rsidRDefault="000E40AB" w:rsidP="003A1F47">
            <w:pPr>
              <w:autoSpaceDE w:val="0"/>
              <w:autoSpaceDN w:val="0"/>
              <w:ind w:right="57"/>
              <w:jc w:val="center"/>
              <w:rPr>
                <w:rFonts w:ascii="Calibri" w:eastAsia="Calibri" w:hAnsi="Calibri"/>
                <w:b/>
                <w:bCs/>
                <w:lang w:val="sk-SK"/>
              </w:rPr>
            </w:pPr>
            <w:r w:rsidRPr="009F7DB5">
              <w:rPr>
                <w:b/>
                <w:bCs/>
                <w:lang w:val="sk-SK"/>
              </w:rPr>
              <w:t>Dávka</w:t>
            </w:r>
          </w:p>
        </w:tc>
        <w:tc>
          <w:tcPr>
            <w:tcW w:w="1392" w:type="dxa"/>
            <w:tcBorders>
              <w:top w:val="single" w:sz="8" w:space="0" w:color="auto"/>
              <w:left w:val="nil"/>
              <w:bottom w:val="single" w:sz="4" w:space="0" w:color="auto"/>
              <w:right w:val="single" w:sz="8" w:space="0" w:color="auto"/>
            </w:tcBorders>
            <w:shd w:val="clear" w:color="auto" w:fill="E0E0E0"/>
            <w:tcMar>
              <w:top w:w="0" w:type="dxa"/>
              <w:left w:w="57" w:type="dxa"/>
              <w:bottom w:w="0" w:type="dxa"/>
              <w:right w:w="57" w:type="dxa"/>
            </w:tcMar>
          </w:tcPr>
          <w:p w:rsidR="000E40AB" w:rsidRPr="009F7DB5" w:rsidRDefault="000E40AB" w:rsidP="003A1F47">
            <w:pPr>
              <w:autoSpaceDE w:val="0"/>
              <w:autoSpaceDN w:val="0"/>
              <w:jc w:val="center"/>
              <w:rPr>
                <w:rFonts w:ascii="Calibri" w:eastAsia="Calibri" w:hAnsi="Calibri"/>
                <w:b/>
                <w:bCs/>
                <w:lang w:val="sk-SK"/>
              </w:rPr>
            </w:pPr>
            <w:r w:rsidRPr="009F7DB5">
              <w:rPr>
                <w:b/>
                <w:bCs/>
                <w:lang w:val="sk-SK"/>
              </w:rPr>
              <w:t>Ochranná doba</w:t>
            </w:r>
          </w:p>
        </w:tc>
        <w:tc>
          <w:tcPr>
            <w:tcW w:w="1376" w:type="dxa"/>
            <w:tcBorders>
              <w:top w:val="single" w:sz="8" w:space="0" w:color="auto"/>
              <w:left w:val="nil"/>
              <w:bottom w:val="single" w:sz="4" w:space="0" w:color="auto"/>
              <w:right w:val="single" w:sz="8" w:space="0" w:color="auto"/>
            </w:tcBorders>
            <w:shd w:val="clear" w:color="auto" w:fill="E0E0E0"/>
            <w:tcMar>
              <w:top w:w="0" w:type="dxa"/>
              <w:left w:w="57" w:type="dxa"/>
              <w:bottom w:w="0" w:type="dxa"/>
              <w:right w:w="57" w:type="dxa"/>
            </w:tcMar>
          </w:tcPr>
          <w:p w:rsidR="000E40AB" w:rsidRPr="009F7DB5" w:rsidRDefault="000E40AB" w:rsidP="003A1F47">
            <w:pPr>
              <w:autoSpaceDE w:val="0"/>
              <w:autoSpaceDN w:val="0"/>
              <w:ind w:right="113"/>
              <w:jc w:val="center"/>
              <w:rPr>
                <w:rFonts w:ascii="Calibri" w:eastAsia="Calibri" w:hAnsi="Calibri"/>
                <w:b/>
                <w:bCs/>
                <w:lang w:val="sk-SK"/>
              </w:rPr>
            </w:pPr>
            <w:r w:rsidRPr="009F7DB5">
              <w:rPr>
                <w:b/>
                <w:bCs/>
                <w:lang w:val="sk-SK"/>
              </w:rPr>
              <w:t>Poznámka</w:t>
            </w:r>
          </w:p>
        </w:tc>
      </w:tr>
      <w:tr w:rsidR="000E40AB" w:rsidRPr="009F7DB5" w:rsidTr="00BD4BB5">
        <w:trPr>
          <w:cantSplit/>
          <w:trHeight w:val="20"/>
        </w:trPr>
        <w:tc>
          <w:tcPr>
            <w:tcW w:w="17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D4BB5" w:rsidRPr="00BD4BB5" w:rsidRDefault="00BD4BB5" w:rsidP="00BD4BB5">
            <w:pPr>
              <w:autoSpaceDE w:val="0"/>
              <w:autoSpaceDN w:val="0"/>
              <w:adjustRightInd w:val="0"/>
              <w:rPr>
                <w:bCs/>
                <w:lang w:val="sk-SK" w:eastAsia="es-ES"/>
              </w:rPr>
            </w:pPr>
            <w:r w:rsidRPr="00BD4BB5">
              <w:rPr>
                <w:bCs/>
                <w:lang w:val="sk-SK" w:eastAsia="es-ES"/>
              </w:rPr>
              <w:t xml:space="preserve">podľa </w:t>
            </w:r>
          </w:p>
          <w:p w:rsidR="000E40AB" w:rsidRPr="00BD4BB5" w:rsidRDefault="00BD4BB5" w:rsidP="00BD4BB5">
            <w:pPr>
              <w:autoSpaceDE w:val="0"/>
              <w:autoSpaceDN w:val="0"/>
              <w:rPr>
                <w:rFonts w:eastAsia="Calibri"/>
                <w:b/>
                <w:bCs/>
                <w:highlight w:val="yellow"/>
                <w:lang w:val="sk-SK"/>
              </w:rPr>
            </w:pPr>
            <w:r w:rsidRPr="00BD4BB5">
              <w:rPr>
                <w:bCs/>
                <w:lang w:val="sk-SK" w:eastAsia="es-ES"/>
              </w:rPr>
              <w:t>použitého prípravku</w:t>
            </w:r>
          </w:p>
        </w:tc>
        <w:tc>
          <w:tcPr>
            <w:tcW w:w="27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E40AB" w:rsidRPr="00BD4BB5" w:rsidRDefault="00BD4BB5" w:rsidP="00F16337">
            <w:pPr>
              <w:autoSpaceDE w:val="0"/>
              <w:autoSpaceDN w:val="0"/>
              <w:rPr>
                <w:rFonts w:eastAsia="Calibri"/>
                <w:highlight w:val="yellow"/>
                <w:lang w:val="sk-SK"/>
              </w:rPr>
            </w:pPr>
            <w:r w:rsidRPr="00BD4BB5">
              <w:rPr>
                <w:rStyle w:val="FontStyle26"/>
                <w:rFonts w:ascii="Times New Roman" w:hAnsi="Times New Roman" w:cs="Times New Roman"/>
                <w:b w:val="0"/>
                <w:sz w:val="24"/>
                <w:szCs w:val="24"/>
                <w:lang w:val="sk-SK"/>
              </w:rPr>
              <w:t>zlepšenie vlastností aplikačnej kvapaliny</w:t>
            </w:r>
          </w:p>
        </w:tc>
        <w:tc>
          <w:tcPr>
            <w:tcW w:w="17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D4BB5" w:rsidRPr="00BD4BB5" w:rsidRDefault="00BD4BB5" w:rsidP="003A1F47">
            <w:pPr>
              <w:autoSpaceDE w:val="0"/>
              <w:autoSpaceDN w:val="0"/>
              <w:adjustRightInd w:val="0"/>
              <w:rPr>
                <w:bCs/>
                <w:lang w:val="sk-SK" w:eastAsia="es-ES"/>
              </w:rPr>
            </w:pPr>
            <w:r w:rsidRPr="00BD4BB5">
              <w:rPr>
                <w:bCs/>
                <w:lang w:val="sk-SK" w:eastAsia="es-ES"/>
              </w:rPr>
              <w:t>0,5 % TM s autorizovanými herbicídmi a regulátormi,</w:t>
            </w:r>
          </w:p>
          <w:p w:rsidR="00BD4BB5" w:rsidRPr="00BD4BB5" w:rsidRDefault="00BD4BB5" w:rsidP="003A1F47">
            <w:pPr>
              <w:autoSpaceDE w:val="0"/>
              <w:autoSpaceDN w:val="0"/>
              <w:adjustRightInd w:val="0"/>
              <w:rPr>
                <w:bCs/>
                <w:lang w:val="sk-SK" w:eastAsia="es-ES"/>
              </w:rPr>
            </w:pPr>
            <w:r w:rsidRPr="00BD4BB5">
              <w:rPr>
                <w:bCs/>
                <w:lang w:val="sk-SK" w:eastAsia="es-ES"/>
              </w:rPr>
              <w:t>0,2 % TM</w:t>
            </w:r>
          </w:p>
          <w:p w:rsidR="00BD4BB5" w:rsidRPr="00BD4BB5" w:rsidRDefault="00BD4BB5" w:rsidP="003A1F47">
            <w:pPr>
              <w:autoSpaceDE w:val="0"/>
              <w:autoSpaceDN w:val="0"/>
              <w:adjustRightInd w:val="0"/>
              <w:rPr>
                <w:bCs/>
                <w:lang w:val="sk-SK" w:eastAsia="es-ES"/>
              </w:rPr>
            </w:pPr>
            <w:r w:rsidRPr="00BD4BB5">
              <w:rPr>
                <w:bCs/>
                <w:lang w:val="sk-SK" w:eastAsia="es-ES"/>
              </w:rPr>
              <w:t>s autorizovanými</w:t>
            </w:r>
          </w:p>
          <w:p w:rsidR="000E40AB" w:rsidRPr="00BD4BB5" w:rsidRDefault="00BD4BB5" w:rsidP="003A1F47">
            <w:pPr>
              <w:autoSpaceDE w:val="0"/>
              <w:autoSpaceDN w:val="0"/>
              <w:ind w:right="114"/>
              <w:rPr>
                <w:rFonts w:eastAsia="Calibri"/>
                <w:highlight w:val="yellow"/>
                <w:lang w:val="sk-SK"/>
              </w:rPr>
            </w:pPr>
            <w:proofErr w:type="spellStart"/>
            <w:r w:rsidRPr="00BD4BB5">
              <w:rPr>
                <w:bCs/>
                <w:lang w:val="sk-SK" w:eastAsia="es-ES"/>
              </w:rPr>
              <w:t>fungicídmi</w:t>
            </w:r>
            <w:proofErr w:type="spellEnd"/>
            <w:r w:rsidRPr="00BD4BB5">
              <w:rPr>
                <w:bCs/>
                <w:lang w:val="sk-SK" w:eastAsia="es-ES"/>
              </w:rPr>
              <w:t xml:space="preserve"> a insekticídmi</w:t>
            </w:r>
          </w:p>
        </w:tc>
        <w:tc>
          <w:tcPr>
            <w:tcW w:w="1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E40AB" w:rsidRPr="00BD4BB5" w:rsidRDefault="000E40AB" w:rsidP="003A1F47">
            <w:pPr>
              <w:autoSpaceDE w:val="0"/>
              <w:autoSpaceDN w:val="0"/>
              <w:ind w:right="57"/>
              <w:jc w:val="center"/>
              <w:rPr>
                <w:rFonts w:eastAsia="Calibri"/>
                <w:highlight w:val="yellow"/>
                <w:lang w:val="sk-SK"/>
              </w:rPr>
            </w:pPr>
          </w:p>
        </w:tc>
        <w:tc>
          <w:tcPr>
            <w:tcW w:w="13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E40AB" w:rsidRPr="00BD4BB5" w:rsidRDefault="000E40AB" w:rsidP="003A1F47">
            <w:pPr>
              <w:autoSpaceDE w:val="0"/>
              <w:autoSpaceDN w:val="0"/>
              <w:ind w:right="57"/>
              <w:jc w:val="center"/>
              <w:rPr>
                <w:rFonts w:eastAsia="Calibri"/>
                <w:lang w:val="sk-SK"/>
              </w:rPr>
            </w:pPr>
          </w:p>
        </w:tc>
      </w:tr>
    </w:tbl>
    <w:p w:rsidR="00DC4C43" w:rsidRDefault="00DC4C43" w:rsidP="000E40AB">
      <w:pPr>
        <w:outlineLvl w:val="0"/>
        <w:rPr>
          <w:b/>
          <w:caps/>
          <w:lang w:val="sk-SK"/>
        </w:rPr>
      </w:pPr>
    </w:p>
    <w:p w:rsidR="000E40AB" w:rsidRPr="00520C27" w:rsidRDefault="000E40AB" w:rsidP="000E40AB">
      <w:pPr>
        <w:outlineLvl w:val="0"/>
        <w:rPr>
          <w:b/>
          <w:lang w:val="sk-SK"/>
        </w:rPr>
      </w:pPr>
      <w:r w:rsidRPr="00520C27">
        <w:rPr>
          <w:b/>
          <w:caps/>
          <w:lang w:val="sk-SK"/>
        </w:rPr>
        <w:t>Pokyny pre aplikáciu</w:t>
      </w:r>
    </w:p>
    <w:p w:rsidR="00BD4BB5" w:rsidRPr="000B2928" w:rsidRDefault="00BD4BB5" w:rsidP="00BD4BB5">
      <w:pPr>
        <w:pStyle w:val="Style10"/>
        <w:widowControl/>
        <w:jc w:val="both"/>
        <w:rPr>
          <w:rFonts w:ascii="Times New Roman" w:hAnsi="Times New Roman" w:cs="Times New Roman"/>
          <w:snapToGrid w:val="0"/>
          <w:lang w:val="sk-SK"/>
        </w:rPr>
      </w:pPr>
      <w:r w:rsidRPr="00B1351D">
        <w:rPr>
          <w:rFonts w:ascii="Times New Roman" w:hAnsi="Times New Roman" w:cs="Times New Roman"/>
          <w:bCs/>
          <w:snapToGrid w:val="0"/>
        </w:rPr>
        <w:t>Pomocný prípravok HELIOSOL</w:t>
      </w:r>
      <w:r w:rsidRPr="00B1351D">
        <w:rPr>
          <w:rFonts w:ascii="Times New Roman" w:hAnsi="Times New Roman" w:cs="Times New Roman"/>
          <w:bCs/>
          <w:snapToGrid w:val="0"/>
          <w:vertAlign w:val="superscript"/>
        </w:rPr>
        <w:t>®</w:t>
      </w:r>
      <w:r w:rsidRPr="00B1351D">
        <w:rPr>
          <w:rFonts w:ascii="Times New Roman" w:hAnsi="Times New Roman" w:cs="Times New Roman"/>
          <w:bCs/>
          <w:snapToGrid w:val="0"/>
        </w:rPr>
        <w:t xml:space="preserve"> </w:t>
      </w:r>
      <w:r w:rsidRPr="00B1351D">
        <w:rPr>
          <w:rFonts w:ascii="Times New Roman" w:hAnsi="Times New Roman" w:cs="Times New Roman"/>
          <w:snapToGrid w:val="0"/>
          <w:lang w:val="sk-SK"/>
        </w:rPr>
        <w:t xml:space="preserve"> aplikujte s  autorizovanými prípravkami na ochranu rastlín v súlade s návodom na ich použitie. Maximálny počet ošetrení: v súlade so schválenými podmienkami pre použitie konkrétneho prípravku</w:t>
      </w:r>
      <w:r>
        <w:rPr>
          <w:rFonts w:ascii="Times New Roman" w:hAnsi="Times New Roman" w:cs="Times New Roman"/>
          <w:snapToGrid w:val="0"/>
          <w:lang w:val="sk-SK"/>
        </w:rPr>
        <w:t xml:space="preserve">. </w:t>
      </w:r>
      <w:r w:rsidRPr="000B2928">
        <w:rPr>
          <w:rFonts w:ascii="Times New Roman" w:hAnsi="Times New Roman" w:cs="Times New Roman"/>
          <w:snapToGrid w:val="0"/>
          <w:lang w:val="sk-SK"/>
        </w:rPr>
        <w:t xml:space="preserve">  </w:t>
      </w:r>
    </w:p>
    <w:p w:rsidR="009F7833" w:rsidRDefault="009F7833" w:rsidP="000E40AB">
      <w:pPr>
        <w:rPr>
          <w:lang w:val="sk-SK"/>
        </w:rPr>
      </w:pPr>
    </w:p>
    <w:p w:rsidR="00FB532C" w:rsidRPr="00520C27" w:rsidRDefault="0072519B" w:rsidP="00FB532C">
      <w:pPr>
        <w:widowControl w:val="0"/>
        <w:autoSpaceDE w:val="0"/>
        <w:autoSpaceDN w:val="0"/>
        <w:jc w:val="both"/>
        <w:rPr>
          <w:b/>
          <w:lang w:val="sk-SK"/>
        </w:rPr>
      </w:pPr>
      <w:r>
        <w:rPr>
          <w:b/>
          <w:lang w:val="sk-SK"/>
        </w:rPr>
        <w:t>VPLYV NA UŽITOČNÉ A INÉ NECIEĽ</w:t>
      </w:r>
      <w:r w:rsidR="00FB532C" w:rsidRPr="00520C27">
        <w:rPr>
          <w:b/>
          <w:lang w:val="sk-SK"/>
        </w:rPr>
        <w:t>OVÉ ORGANIZMY</w:t>
      </w:r>
    </w:p>
    <w:p w:rsidR="00FB532C" w:rsidRPr="00BD4BB5" w:rsidRDefault="00FB532C" w:rsidP="00FB532C">
      <w:pPr>
        <w:jc w:val="both"/>
        <w:rPr>
          <w:snapToGrid w:val="0"/>
          <w:lang w:val="sk-SK" w:eastAsia="es-ES"/>
        </w:rPr>
      </w:pPr>
      <w:r w:rsidRPr="00BD4BB5">
        <w:rPr>
          <w:snapToGrid w:val="0"/>
          <w:lang w:val="sk-SK" w:eastAsia="es-ES"/>
        </w:rPr>
        <w:t>Riziká vyplývajúce z použitia prípravku sú pri dodržan</w:t>
      </w:r>
      <w:r w:rsidR="00A30556">
        <w:rPr>
          <w:snapToGrid w:val="0"/>
          <w:lang w:val="sk-SK" w:eastAsia="es-ES"/>
        </w:rPr>
        <w:t xml:space="preserve">í návodu na použitie, predpísanej </w:t>
      </w:r>
      <w:r w:rsidRPr="00BD4BB5">
        <w:rPr>
          <w:snapToGrid w:val="0"/>
          <w:lang w:val="sk-SK" w:eastAsia="es-ES"/>
        </w:rPr>
        <w:t>dávky alebo koncentrácie a správnej  aplikácii pre včely a zver prijateľné.</w:t>
      </w:r>
    </w:p>
    <w:p w:rsidR="00FB532C" w:rsidRDefault="00FB532C" w:rsidP="000E40AB">
      <w:pPr>
        <w:rPr>
          <w:lang w:val="sk-SK"/>
        </w:rPr>
      </w:pPr>
    </w:p>
    <w:p w:rsidR="00AD6F9B" w:rsidRPr="00D802B4" w:rsidRDefault="00AD6F9B" w:rsidP="00AD6F9B">
      <w:pPr>
        <w:jc w:val="both"/>
        <w:rPr>
          <w:b/>
          <w:bCs/>
          <w:lang w:val="sk-SK"/>
        </w:rPr>
      </w:pPr>
      <w:r w:rsidRPr="00D802B4">
        <w:rPr>
          <w:b/>
          <w:bCs/>
          <w:lang w:val="sk-SK"/>
        </w:rPr>
        <w:t>PRÍPRAVA POSTREKOVEJ KVAPALINY A ZNEŠKODNENIE OBALOV</w:t>
      </w:r>
    </w:p>
    <w:p w:rsidR="00E41FD1" w:rsidRPr="004961E9" w:rsidRDefault="00E41FD1" w:rsidP="00E41FD1">
      <w:pPr>
        <w:jc w:val="both"/>
        <w:rPr>
          <w:color w:val="7F7F7F"/>
          <w:lang w:val="sk-SK"/>
        </w:rPr>
      </w:pPr>
      <w:r>
        <w:rPr>
          <w:lang w:val="sk-SK"/>
        </w:rPr>
        <w:t>P</w:t>
      </w:r>
      <w:r w:rsidRPr="003D29F2">
        <w:rPr>
          <w:lang w:val="sk-SK"/>
        </w:rPr>
        <w:t>odľa pokynov na etikete prípravku na ochranu rastlín, s ktorým sa pomocný prípravok aplik</w:t>
      </w:r>
      <w:r>
        <w:rPr>
          <w:lang w:val="sk-SK"/>
        </w:rPr>
        <w:t>uje</w:t>
      </w:r>
      <w:r w:rsidRPr="004961E9">
        <w:rPr>
          <w:color w:val="7F7F7F"/>
          <w:lang w:val="sk-SK"/>
        </w:rPr>
        <w:t>.</w:t>
      </w:r>
    </w:p>
    <w:p w:rsidR="00AD6F9B" w:rsidRPr="00520C27" w:rsidRDefault="00AD6F9B" w:rsidP="000E40AB">
      <w:pPr>
        <w:rPr>
          <w:lang w:val="sk-SK"/>
        </w:rPr>
      </w:pPr>
    </w:p>
    <w:p w:rsidR="00FB532C" w:rsidRPr="00520C27" w:rsidRDefault="00FB532C" w:rsidP="00FB532C">
      <w:pPr>
        <w:tabs>
          <w:tab w:val="left" w:pos="1135"/>
          <w:tab w:val="left" w:pos="3402"/>
        </w:tabs>
        <w:jc w:val="both"/>
        <w:rPr>
          <w:b/>
          <w:lang w:val="sk-SK"/>
        </w:rPr>
      </w:pPr>
      <w:r w:rsidRPr="00520C27">
        <w:rPr>
          <w:b/>
          <w:lang w:val="sk-SK"/>
        </w:rPr>
        <w:t>BEZPEČNOSTNÉ OPATRENIA</w:t>
      </w:r>
    </w:p>
    <w:p w:rsidR="00BD4BB5" w:rsidRPr="00BD4BB5" w:rsidRDefault="00BD4BB5" w:rsidP="00BD4BB5">
      <w:pPr>
        <w:jc w:val="both"/>
        <w:rPr>
          <w:lang w:val="sk-SK"/>
        </w:rPr>
      </w:pPr>
      <w:r w:rsidRPr="00BD4BB5">
        <w:rPr>
          <w:snapToGrid w:val="0"/>
          <w:lang w:val="sk-SK" w:eastAsia="es-ES"/>
        </w:rPr>
        <w:t>P</w:t>
      </w:r>
      <w:r w:rsidR="003A1F47">
        <w:rPr>
          <w:snapToGrid w:val="0"/>
          <w:lang w:val="sk-SK" w:eastAsia="es-ES"/>
        </w:rPr>
        <w:t>očas</w:t>
      </w:r>
      <w:r w:rsidRPr="00BD4BB5">
        <w:rPr>
          <w:snapToGrid w:val="0"/>
          <w:lang w:val="sk-SK" w:eastAsia="es-ES"/>
        </w:rPr>
        <w:t xml:space="preserve"> prác</w:t>
      </w:r>
      <w:r w:rsidR="003A1F47">
        <w:rPr>
          <w:snapToGrid w:val="0"/>
          <w:lang w:val="sk-SK" w:eastAsia="es-ES"/>
        </w:rPr>
        <w:t>e</w:t>
      </w:r>
      <w:r w:rsidRPr="00BD4BB5">
        <w:rPr>
          <w:snapToGrid w:val="0"/>
          <w:lang w:val="sk-SK" w:eastAsia="es-ES"/>
        </w:rPr>
        <w:t xml:space="preserve"> </w:t>
      </w:r>
      <w:r w:rsidR="003A1F47">
        <w:rPr>
          <w:snapToGrid w:val="0"/>
          <w:lang w:val="sk-SK" w:eastAsia="es-ES"/>
        </w:rPr>
        <w:t>a</w:t>
      </w:r>
      <w:r w:rsidRPr="00BD4BB5">
        <w:rPr>
          <w:snapToGrid w:val="0"/>
          <w:lang w:val="sk-SK" w:eastAsia="es-ES"/>
        </w:rPr>
        <w:t xml:space="preserve"> po nej, až do odloženia osobných ochranných pracovných prostriedkov a do dôkladného umytia nejedzte, nepite a nefajčite. Zabráňte akémukoľvek priamemu či nepriamemu styku prípravku s pokožkou a očami. Ochranný odev vyperte, resp. dôkladne očistite tie osobné ochranné prostriedky, ktoré nemožno prať. Pri príprave aplikačnej kvapaliny ani pri </w:t>
      </w:r>
      <w:r w:rsidR="00A30556">
        <w:rPr>
          <w:snapToGrid w:val="0"/>
          <w:lang w:val="sk-SK" w:eastAsia="es-ES"/>
        </w:rPr>
        <w:t xml:space="preserve">príprave </w:t>
      </w:r>
      <w:bookmarkStart w:id="0" w:name="_GoBack"/>
      <w:bookmarkEnd w:id="0"/>
      <w:r w:rsidRPr="00BD4BB5">
        <w:rPr>
          <w:snapToGrid w:val="0"/>
          <w:lang w:val="sk-SK" w:eastAsia="es-ES"/>
        </w:rPr>
        <w:t>postrekov nepoužívajte kontaktné šošovky. Po manipulácii si dôkladne umyte ruky. Postrekujte len za bezvetria alebo mierneho vánku, v smere vetra a od ďalších osôb. Vstup na ošetrený pozemok je možný minimálne na druhý deň po aplikácii.</w:t>
      </w:r>
      <w:r w:rsidRPr="00BD4BB5">
        <w:rPr>
          <w:sz w:val="22"/>
          <w:szCs w:val="22"/>
          <w:lang w:val="sk-SK"/>
        </w:rPr>
        <w:br/>
      </w:r>
    </w:p>
    <w:p w:rsidR="00BD4BB5" w:rsidRPr="00BD4BB5" w:rsidRDefault="00BD4BB5" w:rsidP="00BD4BB5">
      <w:pPr>
        <w:jc w:val="both"/>
        <w:rPr>
          <w:b/>
          <w:lang w:val="sk-SK"/>
        </w:rPr>
      </w:pPr>
      <w:r w:rsidRPr="00BD4BB5">
        <w:rPr>
          <w:b/>
          <w:lang w:val="sk-SK"/>
        </w:rPr>
        <w:t xml:space="preserve">Ochrana dýchacích ciest: </w:t>
      </w:r>
      <w:r w:rsidRPr="00BD4BB5">
        <w:rPr>
          <w:lang w:val="sk-SK"/>
        </w:rPr>
        <w:t xml:space="preserve">Nie je nutná. </w:t>
      </w:r>
    </w:p>
    <w:p w:rsidR="00BD4BB5" w:rsidRPr="00BD4BB5" w:rsidRDefault="00BD4BB5" w:rsidP="00BD4BB5">
      <w:pPr>
        <w:jc w:val="both"/>
        <w:rPr>
          <w:b/>
          <w:lang w:val="sk-SK"/>
        </w:rPr>
      </w:pPr>
      <w:r w:rsidRPr="00BD4BB5">
        <w:rPr>
          <w:b/>
          <w:lang w:val="sk-SK"/>
        </w:rPr>
        <w:lastRenderedPageBreak/>
        <w:t xml:space="preserve">Ochrana rúk:  </w:t>
      </w:r>
      <w:r w:rsidRPr="00BD4BB5">
        <w:rPr>
          <w:lang w:val="sk-SK"/>
        </w:rPr>
        <w:t xml:space="preserve">Gumené alebo plastové rukavice označené piktogramom ochrany voči chemickým látkam podľa normy STN EN 420+A1, s uvedeným kódom podľa prílohy A k STN EN 374-1. </w:t>
      </w:r>
    </w:p>
    <w:p w:rsidR="00BD4BB5" w:rsidRPr="00BD4BB5" w:rsidRDefault="00BD4BB5" w:rsidP="00BD4BB5">
      <w:pPr>
        <w:jc w:val="both"/>
        <w:rPr>
          <w:b/>
          <w:lang w:val="sk-SK"/>
        </w:rPr>
      </w:pPr>
      <w:r w:rsidRPr="00BD4BB5">
        <w:rPr>
          <w:b/>
          <w:lang w:val="sk-SK"/>
        </w:rPr>
        <w:t xml:space="preserve">Ochrana očí a tváre: </w:t>
      </w:r>
      <w:r w:rsidRPr="00BD4BB5">
        <w:rPr>
          <w:lang w:val="sk-SK"/>
        </w:rPr>
        <w:t xml:space="preserve">Ochranné okuliare alebo ochranný štít podľa STN EN 166. </w:t>
      </w:r>
    </w:p>
    <w:p w:rsidR="00BD4BB5" w:rsidRPr="00BD4BB5" w:rsidRDefault="00BD4BB5" w:rsidP="00BD4BB5">
      <w:pPr>
        <w:jc w:val="both"/>
        <w:rPr>
          <w:b/>
          <w:lang w:val="sk-SK"/>
        </w:rPr>
      </w:pPr>
      <w:r w:rsidRPr="00BD4BB5">
        <w:rPr>
          <w:b/>
          <w:lang w:val="sk-SK"/>
        </w:rPr>
        <w:t xml:space="preserve">Ochrana povrchu tela: </w:t>
      </w:r>
      <w:r w:rsidRPr="00BD4BB5">
        <w:rPr>
          <w:lang w:val="sk-SK"/>
        </w:rPr>
        <w:t xml:space="preserve">Celotelový ochranný odev napr. podľa STN EN 14605+A1 resp. podľa STN EN 13034+A1, príp. iný ochranný odev označený grafickou značkou „ochrana proti chemikáliám“ v súlade s STN EN ISO 13688. </w:t>
      </w:r>
    </w:p>
    <w:p w:rsidR="00BD4BB5" w:rsidRPr="00BD4BB5" w:rsidRDefault="00BD4BB5" w:rsidP="00BD4BB5">
      <w:pPr>
        <w:jc w:val="both"/>
        <w:rPr>
          <w:b/>
          <w:lang w:val="sk-SK"/>
        </w:rPr>
      </w:pPr>
      <w:r w:rsidRPr="00BD4BB5">
        <w:rPr>
          <w:b/>
          <w:lang w:val="sk-SK"/>
        </w:rPr>
        <w:t xml:space="preserve">Dodatočná ochrana nôh: </w:t>
      </w:r>
      <w:r w:rsidRPr="00BD4BB5">
        <w:rPr>
          <w:lang w:val="sk-SK"/>
        </w:rPr>
        <w:t xml:space="preserve">Pracovná alebo ochranná obuv (napr. gumené alebo plastové čižmy) podľa STN EN ISO 20346 resp. STN EN ISO 20347 (s ohľadom na prácu v poľnohospodárskom teréne). </w:t>
      </w:r>
    </w:p>
    <w:p w:rsidR="00BD4BB5" w:rsidRPr="00BD4BB5" w:rsidRDefault="00BD4BB5" w:rsidP="00BD4BB5">
      <w:pPr>
        <w:jc w:val="both"/>
        <w:rPr>
          <w:lang w:val="sk-SK"/>
        </w:rPr>
      </w:pPr>
      <w:r w:rsidRPr="00BD4BB5">
        <w:rPr>
          <w:lang w:val="sk-SK"/>
        </w:rPr>
        <w:t xml:space="preserve">Pri miešaní pomocného prostriedku s prípravkom na ochranu rastlín sa potreba použitia osobných ochranných prostriedkov (OOP) stanovuje s ohľadom na najnebezpečnejšiu zložku postrekovej zmesi. Pokiaľ je obsluha postrekovacieho vozidla dostatočne chránená v kabíne vodiča, použitie OOP nie je nutné. Je však nutné mať k dispozícii aspoň ochranné rukavice a okuliare ako ochrannú rezervu pre prípad poruchy zariadenia. </w:t>
      </w:r>
    </w:p>
    <w:p w:rsidR="0077586F" w:rsidRPr="0048000D" w:rsidRDefault="0077586F" w:rsidP="0077586F">
      <w:pPr>
        <w:jc w:val="both"/>
        <w:rPr>
          <w:color w:val="A6A6A6"/>
          <w:lang w:val="sk-SK"/>
        </w:rPr>
      </w:pPr>
    </w:p>
    <w:p w:rsidR="00FB532C" w:rsidRPr="009F7DB5" w:rsidRDefault="00FB532C" w:rsidP="00FB532C">
      <w:pPr>
        <w:rPr>
          <w:caps/>
          <w:lang w:val="sk-SK"/>
        </w:rPr>
      </w:pPr>
      <w:r w:rsidRPr="009F7DB5">
        <w:rPr>
          <w:b/>
          <w:caps/>
          <w:lang w:val="sk-SK"/>
        </w:rPr>
        <w:t>Prvá pomoc</w:t>
      </w:r>
    </w:p>
    <w:p w:rsidR="00BD4BB5" w:rsidRPr="00BD4BB5" w:rsidRDefault="00BD4BB5" w:rsidP="00BD4BB5">
      <w:pPr>
        <w:jc w:val="both"/>
        <w:rPr>
          <w:b/>
          <w:lang w:val="sk-SK"/>
        </w:rPr>
      </w:pPr>
      <w:r w:rsidRPr="00BD4BB5">
        <w:rPr>
          <w:b/>
          <w:lang w:val="sk-SK"/>
        </w:rPr>
        <w:t xml:space="preserve">Všeobecné pokyny: </w:t>
      </w:r>
      <w:r w:rsidRPr="00BD4BB5">
        <w:rPr>
          <w:lang w:val="sk-SK"/>
        </w:rPr>
        <w:t xml:space="preserve">V prípade pretrvávajúcich zdravotných ťažkostí (slzenie či pálenie očí, príp. pri podozrení na alergickú kožnú reakciu) alebo v prípade pochybností kontaktujte lekára. </w:t>
      </w:r>
    </w:p>
    <w:p w:rsidR="00BD4BB5" w:rsidRPr="00BD4BB5" w:rsidRDefault="00BD4BB5" w:rsidP="00BD4BB5">
      <w:pPr>
        <w:rPr>
          <w:b/>
          <w:lang w:val="sk-SK"/>
        </w:rPr>
      </w:pPr>
      <w:r w:rsidRPr="00BD4BB5">
        <w:rPr>
          <w:b/>
          <w:lang w:val="sk-SK"/>
        </w:rPr>
        <w:t xml:space="preserve">Pri nadýchaní: </w:t>
      </w:r>
      <w:r w:rsidRPr="00BD4BB5">
        <w:rPr>
          <w:lang w:val="sk-SK"/>
        </w:rPr>
        <w:t xml:space="preserve">Prerušte prácu a opustite priestor expozície. </w:t>
      </w:r>
    </w:p>
    <w:p w:rsidR="00BD4BB5" w:rsidRPr="00BD4BB5" w:rsidRDefault="00BD4BB5" w:rsidP="00BD4BB5">
      <w:pPr>
        <w:jc w:val="both"/>
        <w:rPr>
          <w:b/>
          <w:lang w:val="sk-SK"/>
        </w:rPr>
      </w:pPr>
      <w:r w:rsidRPr="00BD4BB5">
        <w:rPr>
          <w:b/>
          <w:lang w:val="sk-SK"/>
        </w:rPr>
        <w:t xml:space="preserve">Pri zasiahnutí pokožky: </w:t>
      </w:r>
      <w:r w:rsidRPr="00BD4BB5">
        <w:rPr>
          <w:lang w:val="sk-SK"/>
        </w:rPr>
        <w:t xml:space="preserve">Okamžite odstráňte odev znečistený prípravkom. Zasiahnuté oblasti pokožky umyte vodou a mydlom (pokiaľ je to možné, použite teplú vodu). Pokožku po umytí dôkladne opláchnite. </w:t>
      </w:r>
    </w:p>
    <w:p w:rsidR="00BD4BB5" w:rsidRPr="00BD4BB5" w:rsidRDefault="00BD4BB5" w:rsidP="00BD4BB5">
      <w:pPr>
        <w:jc w:val="both"/>
        <w:rPr>
          <w:b/>
          <w:lang w:val="sk-SK"/>
        </w:rPr>
      </w:pPr>
      <w:r w:rsidRPr="00BD4BB5">
        <w:rPr>
          <w:b/>
          <w:lang w:val="sk-SK"/>
        </w:rPr>
        <w:t xml:space="preserve">Pri zasiahnutí očí: </w:t>
      </w:r>
      <w:r w:rsidRPr="00BD4BB5">
        <w:rPr>
          <w:lang w:val="sk-SK"/>
        </w:rPr>
        <w:t xml:space="preserve">Oči vyplachujte po dobu aspoň 10 minút veľkým množstvom čistej vlažnej vody. Pokiaľ používajte kontaktné šošovky, odstráňte ich počas vyplachovania (ak je možné ľahko ich vyňať). Kontaktné šošovky nie je možné opätovne použiť a je potrebné ich zlikvidovať. </w:t>
      </w:r>
    </w:p>
    <w:p w:rsidR="00BD4BB5" w:rsidRPr="00BD4BB5" w:rsidRDefault="00BD4BB5" w:rsidP="00BD4BB5">
      <w:pPr>
        <w:jc w:val="both"/>
        <w:rPr>
          <w:b/>
          <w:lang w:val="sk-SK"/>
        </w:rPr>
      </w:pPr>
      <w:r w:rsidRPr="00BD4BB5">
        <w:rPr>
          <w:b/>
          <w:lang w:val="sk-SK"/>
        </w:rPr>
        <w:t xml:space="preserve">Pri náhodnom požití: </w:t>
      </w:r>
      <w:r w:rsidRPr="00BD4BB5">
        <w:rPr>
          <w:lang w:val="sk-SK"/>
        </w:rPr>
        <w:t xml:space="preserve">Ústa si vypláchnite vodou, prípadne vypite pohár vody (4 dl). Nevyvolávajte zvracanie. </w:t>
      </w:r>
    </w:p>
    <w:p w:rsidR="00FB532C" w:rsidRPr="00BD4BB5" w:rsidRDefault="00FB532C" w:rsidP="00FB532C">
      <w:pPr>
        <w:jc w:val="both"/>
        <w:rPr>
          <w:lang w:val="sk-SK"/>
        </w:rPr>
      </w:pPr>
      <w:r w:rsidRPr="00BD4BB5">
        <w:rPr>
          <w:lang w:val="sk-SK"/>
        </w:rPr>
        <w:t>V prípade potreby lekár môže liečbu konzultovať s Národným toxikologickým informačným centrom v Bratislave (číslo telefónu: 02/54 77 41 66).</w:t>
      </w:r>
    </w:p>
    <w:p w:rsidR="00D7619A" w:rsidRPr="00520C27" w:rsidRDefault="00D7619A" w:rsidP="00FB532C">
      <w:pPr>
        <w:jc w:val="both"/>
        <w:rPr>
          <w:lang w:val="sk-SK"/>
        </w:rPr>
      </w:pPr>
    </w:p>
    <w:p w:rsidR="00D7619A" w:rsidRPr="00520C27" w:rsidRDefault="00D7619A" w:rsidP="00D7619A">
      <w:pPr>
        <w:rPr>
          <w:b/>
          <w:caps/>
          <w:lang w:val="sk-SK"/>
        </w:rPr>
      </w:pPr>
      <w:r w:rsidRPr="00520C27">
        <w:rPr>
          <w:b/>
          <w:caps/>
          <w:lang w:val="sk-SK"/>
        </w:rPr>
        <w:t>ČISTENIE APLIKAČNÉHO ZARIADENIA</w:t>
      </w:r>
    </w:p>
    <w:p w:rsidR="003D29F2" w:rsidRPr="003D29F2" w:rsidRDefault="003D29F2" w:rsidP="003D29F2">
      <w:pPr>
        <w:jc w:val="both"/>
        <w:rPr>
          <w:lang w:val="sk-SK"/>
        </w:rPr>
      </w:pPr>
      <w:r w:rsidRPr="003D29F2">
        <w:rPr>
          <w:lang w:val="sk-SK"/>
        </w:rPr>
        <w:t xml:space="preserve">Po skončení aplikácie prípravku je potrebné vyprázdniť nádrž postrekovacieho zariadenia a celé zariadenie vypláchnuť čistou vodou. Zvyšky aplikačnej kvapaliny je zakázané vylievať v blízkosti vodných zdrojov, podzemných vôd a recipientov povrchových vôd. </w:t>
      </w:r>
    </w:p>
    <w:p w:rsidR="003D29F2" w:rsidRPr="003D29F2" w:rsidRDefault="003D29F2" w:rsidP="003D29F2">
      <w:pPr>
        <w:jc w:val="both"/>
        <w:rPr>
          <w:lang w:val="sk-SK"/>
        </w:rPr>
      </w:pPr>
      <w:r w:rsidRPr="003D29F2">
        <w:rPr>
          <w:lang w:val="sk-SK"/>
        </w:rPr>
        <w:t xml:space="preserve">Všetky trysky, filtre, záchytné sitká, čerpadlá i nádrž postrekovača je nutné po použití dôkladne vyčistiť  aby sa predišlo riziku poškodenia iných plodín následne ošetrovaných tým istým postrekovacím zariadením. Zvyšky nepoužitého prípravku z nádrže ani splašky z čistenia sa nesmú vylievať do kanalizácie. </w:t>
      </w:r>
    </w:p>
    <w:p w:rsidR="00D7619A" w:rsidRPr="00520C27" w:rsidRDefault="00D7619A" w:rsidP="00FB532C">
      <w:pPr>
        <w:jc w:val="both"/>
        <w:rPr>
          <w:lang w:val="sk-SK"/>
        </w:rPr>
      </w:pPr>
    </w:p>
    <w:p w:rsidR="005D7101" w:rsidRDefault="00D7619A" w:rsidP="00520C27">
      <w:pPr>
        <w:jc w:val="both"/>
        <w:rPr>
          <w:lang w:val="sk-SK"/>
        </w:rPr>
      </w:pPr>
      <w:r w:rsidRPr="00520C27">
        <w:rPr>
          <w:b/>
          <w:caps/>
          <w:lang w:val="sk-SK"/>
        </w:rPr>
        <w:t>Skladovanie</w:t>
      </w:r>
      <w:r w:rsidRPr="00520C27">
        <w:rPr>
          <w:lang w:val="sk-SK"/>
        </w:rPr>
        <w:t xml:space="preserve"> </w:t>
      </w:r>
    </w:p>
    <w:p w:rsidR="00FB532C" w:rsidRPr="003D29F2" w:rsidRDefault="00D7619A" w:rsidP="00520C27">
      <w:pPr>
        <w:jc w:val="both"/>
        <w:rPr>
          <w:lang w:val="sk-SK"/>
        </w:rPr>
      </w:pPr>
      <w:r w:rsidRPr="003D29F2">
        <w:rPr>
          <w:lang w:val="sk-SK"/>
        </w:rPr>
        <w:t>V suchých, čistých, krytých skladoch, chrániť pred poveternos</w:t>
      </w:r>
      <w:r w:rsidR="00B40EE3" w:rsidRPr="003D29F2">
        <w:rPr>
          <w:lang w:val="sk-SK"/>
        </w:rPr>
        <w:t xml:space="preserve">tnými vplyvmi, pri teplotách </w:t>
      </w:r>
      <w:r w:rsidR="00B40EE3" w:rsidRPr="00056566">
        <w:rPr>
          <w:lang w:val="sk-SK"/>
        </w:rPr>
        <w:t>+5</w:t>
      </w:r>
      <w:r w:rsidR="003D29F2" w:rsidRPr="00056566">
        <w:rPr>
          <w:lang w:val="sk-SK"/>
        </w:rPr>
        <w:t xml:space="preserve"> </w:t>
      </w:r>
      <w:r w:rsidRPr="00056566">
        <w:rPr>
          <w:lang w:val="sk-SK"/>
        </w:rPr>
        <w:t xml:space="preserve">°C až </w:t>
      </w:r>
      <w:r w:rsidR="003D29F2" w:rsidRPr="00056566">
        <w:rPr>
          <w:lang w:val="sk-SK"/>
        </w:rPr>
        <w:t>+3</w:t>
      </w:r>
      <w:r w:rsidR="00F829C0" w:rsidRPr="00056566">
        <w:rPr>
          <w:lang w:val="sk-SK"/>
        </w:rPr>
        <w:t>5</w:t>
      </w:r>
      <w:r w:rsidR="003D29F2" w:rsidRPr="00056566">
        <w:rPr>
          <w:lang w:val="sk-SK"/>
        </w:rPr>
        <w:t xml:space="preserve"> </w:t>
      </w:r>
      <w:r w:rsidRPr="00056566">
        <w:rPr>
          <w:lang w:val="sk-SK"/>
        </w:rPr>
        <w:t>°C. Chráňte pred mrazom, priamym slnečným svetlom a vlhkom. Pri</w:t>
      </w:r>
      <w:r w:rsidRPr="003D29F2">
        <w:rPr>
          <w:lang w:val="sk-SK"/>
        </w:rPr>
        <w:t xml:space="preserve"> dodržaní podmienok skladovania v neporušených originálnych obaloch je doba použiteľnosti prípravku 2 roky od dátumu výroby.</w:t>
      </w:r>
    </w:p>
    <w:p w:rsidR="00D7619A" w:rsidRPr="00520C27" w:rsidRDefault="00D7619A" w:rsidP="000E40AB">
      <w:pPr>
        <w:rPr>
          <w:lang w:val="sk-SK"/>
        </w:rPr>
      </w:pPr>
    </w:p>
    <w:p w:rsidR="005D7101" w:rsidRDefault="0061343B" w:rsidP="005D7101">
      <w:pPr>
        <w:widowControl w:val="0"/>
        <w:suppressAutoHyphens/>
        <w:jc w:val="both"/>
        <w:rPr>
          <w:b/>
          <w:kern w:val="1"/>
          <w:lang w:val="sk-SK"/>
        </w:rPr>
      </w:pPr>
      <w:r w:rsidRPr="0061343B">
        <w:rPr>
          <w:b/>
          <w:kern w:val="1"/>
          <w:lang w:val="sk-SK"/>
        </w:rPr>
        <w:t>ZNEŠKODNENIE OBALOV A</w:t>
      </w:r>
      <w:r w:rsidR="005D7101">
        <w:rPr>
          <w:b/>
          <w:kern w:val="1"/>
          <w:lang w:val="sk-SK"/>
        </w:rPr>
        <w:t> </w:t>
      </w:r>
      <w:r w:rsidRPr="0061343B">
        <w:rPr>
          <w:b/>
          <w:kern w:val="1"/>
          <w:lang w:val="sk-SK"/>
        </w:rPr>
        <w:t>ZVYŠKOV</w:t>
      </w:r>
    </w:p>
    <w:p w:rsidR="000A7B6B" w:rsidRPr="000A7B6B" w:rsidRDefault="00D7619A" w:rsidP="005D7101">
      <w:pPr>
        <w:widowControl w:val="0"/>
        <w:suppressAutoHyphens/>
        <w:jc w:val="both"/>
        <w:rPr>
          <w:lang w:val="sk-SK"/>
        </w:rPr>
      </w:pPr>
      <w:r w:rsidRPr="009F7DB5">
        <w:rPr>
          <w:lang w:val="sk-SK"/>
        </w:rPr>
        <w:t xml:space="preserve">Vyprázdnený obal vymyte vodou a likvidujte ako ostatný odpad. </w:t>
      </w:r>
    </w:p>
    <w:p w:rsidR="000A7B6B" w:rsidRPr="000A7B6B" w:rsidRDefault="000A7B6B" w:rsidP="000A7B6B">
      <w:pPr>
        <w:widowControl w:val="0"/>
        <w:tabs>
          <w:tab w:val="left" w:pos="1134"/>
          <w:tab w:val="left" w:pos="3261"/>
        </w:tabs>
        <w:autoSpaceDE w:val="0"/>
        <w:autoSpaceDN w:val="0"/>
        <w:jc w:val="both"/>
        <w:rPr>
          <w:lang w:val="sk-SK"/>
        </w:rPr>
      </w:pPr>
      <w:r w:rsidRPr="000A7B6B">
        <w:rPr>
          <w:lang w:val="sk-SK"/>
        </w:rPr>
        <w:lastRenderedPageBreak/>
        <w:t xml:space="preserve">Nepoužitý prípravok v pôvodnom obale a prázdne obaly z prípravku odovzdajte v mieste zberu domového odpadu špeciálne vytvoreného pre tento účel (v rámci  triedenia odpadov) príslušnou samosprávou (informujte sa u orgánu miestnej správy)! Obaly od prípravku sa nesmú znovu používať na akékoľvek iné účely! </w:t>
      </w:r>
    </w:p>
    <w:p w:rsidR="00840EB6" w:rsidRPr="004961E9" w:rsidRDefault="00AD6F9B" w:rsidP="00AD6F9B">
      <w:pPr>
        <w:jc w:val="both"/>
        <w:rPr>
          <w:color w:val="7F7F7F"/>
          <w:lang w:val="sk-SK"/>
        </w:rPr>
      </w:pPr>
      <w:r w:rsidRPr="003D29F2">
        <w:rPr>
          <w:lang w:val="sk-SK"/>
        </w:rPr>
        <w:t>Technologický zvyšok postrekovej kvapaliny a nepoužité zvyšky postrekovej kvapaliny</w:t>
      </w:r>
      <w:r w:rsidR="0077586F" w:rsidRPr="003D29F2">
        <w:rPr>
          <w:lang w:val="sk-SK"/>
        </w:rPr>
        <w:t xml:space="preserve"> s prípravkom na ochranu rastlín</w:t>
      </w:r>
      <w:r w:rsidRPr="003D29F2">
        <w:rPr>
          <w:lang w:val="sk-SK"/>
        </w:rPr>
        <w:t xml:space="preserve"> zneškodnite podľa pokynov na etikete prípravku na ochranu rastlín, s ktorým sa pomocný prípravok aplikoval</w:t>
      </w:r>
      <w:r w:rsidRPr="004961E9">
        <w:rPr>
          <w:color w:val="7F7F7F"/>
          <w:lang w:val="sk-SK"/>
        </w:rPr>
        <w:t>.</w:t>
      </w:r>
    </w:p>
    <w:sectPr w:rsidR="00840EB6" w:rsidRPr="004961E9" w:rsidSect="00B75F6E">
      <w:headerReference w:type="default" r:id="rId8"/>
      <w:footerReference w:type="default" r:id="rId9"/>
      <w:pgSz w:w="11906" w:h="16838"/>
      <w:pgMar w:top="1417" w:right="1417"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F3" w:rsidRDefault="00E855F3">
      <w:r>
        <w:separator/>
      </w:r>
    </w:p>
  </w:endnote>
  <w:endnote w:type="continuationSeparator" w:id="0">
    <w:p w:rsidR="00E855F3" w:rsidRDefault="00E8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34" w:rsidRDefault="00453E34" w:rsidP="00520C27">
    <w:pPr>
      <w:pStyle w:val="Pta"/>
      <w:rPr>
        <w:sz w:val="16"/>
        <w:szCs w:val="16"/>
      </w:rPr>
    </w:pPr>
  </w:p>
  <w:p w:rsidR="00520C27" w:rsidRPr="00520C27" w:rsidRDefault="00520C27" w:rsidP="00520C27">
    <w:pPr>
      <w:pStyle w:val="Pta"/>
      <w:rPr>
        <w:sz w:val="22"/>
        <w:szCs w:val="22"/>
      </w:rPr>
    </w:pPr>
    <w:r w:rsidRPr="00F34073">
      <w:rPr>
        <w:sz w:val="22"/>
        <w:szCs w:val="22"/>
      </w:rPr>
      <w:t>ICZ/</w:t>
    </w:r>
    <w:r w:rsidR="00F34073" w:rsidRPr="00F34073">
      <w:rPr>
        <w:sz w:val="22"/>
        <w:szCs w:val="22"/>
      </w:rPr>
      <w:t>2016</w:t>
    </w:r>
    <w:r w:rsidRPr="00F34073">
      <w:rPr>
        <w:sz w:val="22"/>
        <w:szCs w:val="22"/>
      </w:rPr>
      <w:t>/</w:t>
    </w:r>
    <w:r w:rsidR="00F34073" w:rsidRPr="00F34073">
      <w:rPr>
        <w:sz w:val="22"/>
        <w:szCs w:val="22"/>
      </w:rPr>
      <w:t>5144</w:t>
    </w:r>
    <w:r w:rsidRPr="00F34073">
      <w:rPr>
        <w:sz w:val="22"/>
        <w:szCs w:val="22"/>
      </w:rPr>
      <w:t>/</w:t>
    </w:r>
    <w:proofErr w:type="spellStart"/>
    <w:r w:rsidR="00F34073" w:rsidRPr="00F34073">
      <w:rPr>
        <w:sz w:val="22"/>
        <w:szCs w:val="22"/>
      </w:rPr>
      <w:t>vi</w:t>
    </w:r>
    <w:proofErr w:type="spellEnd"/>
    <w:r w:rsidRPr="00520C27">
      <w:rPr>
        <w:sz w:val="22"/>
        <w:szCs w:val="22"/>
      </w:rPr>
      <w:tab/>
    </w:r>
    <w:r w:rsidRPr="00520C27">
      <w:rPr>
        <w:sz w:val="22"/>
        <w:szCs w:val="22"/>
      </w:rPr>
      <w:tab/>
    </w:r>
    <w:r w:rsidRPr="00520C27">
      <w:rPr>
        <w:sz w:val="22"/>
        <w:szCs w:val="22"/>
      </w:rPr>
      <w:fldChar w:fldCharType="begin"/>
    </w:r>
    <w:r w:rsidRPr="00520C27">
      <w:rPr>
        <w:sz w:val="22"/>
        <w:szCs w:val="22"/>
      </w:rPr>
      <w:instrText>PAGE   \* MERGEFORMAT</w:instrText>
    </w:r>
    <w:r w:rsidRPr="00520C27">
      <w:rPr>
        <w:sz w:val="22"/>
        <w:szCs w:val="22"/>
      </w:rPr>
      <w:fldChar w:fldCharType="separate"/>
    </w:r>
    <w:r w:rsidR="00A30556" w:rsidRPr="00A30556">
      <w:rPr>
        <w:noProof/>
        <w:sz w:val="22"/>
        <w:szCs w:val="22"/>
        <w:lang w:val="sk-SK"/>
      </w:rPr>
      <w:t>4</w:t>
    </w:r>
    <w:r w:rsidRPr="00520C27">
      <w:rPr>
        <w:sz w:val="22"/>
        <w:szCs w:val="22"/>
      </w:rPr>
      <w:fldChar w:fldCharType="end"/>
    </w:r>
    <w:r w:rsidRPr="00520C27">
      <w:rPr>
        <w:sz w:val="22"/>
        <w:szCs w:val="22"/>
      </w:rPr>
      <w:t>/</w:t>
    </w:r>
    <w:r w:rsidR="00EF4C26">
      <w:rPr>
        <w:sz w:val="22"/>
        <w:szCs w:val="22"/>
      </w:rPr>
      <w:t>4</w:t>
    </w:r>
  </w:p>
  <w:p w:rsidR="00520C27" w:rsidRPr="00520C27" w:rsidRDefault="00520C27" w:rsidP="00520C2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F3" w:rsidRDefault="00E855F3">
      <w:r>
        <w:separator/>
      </w:r>
    </w:p>
  </w:footnote>
  <w:footnote w:type="continuationSeparator" w:id="0">
    <w:p w:rsidR="00E855F3" w:rsidRDefault="00E85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F7" w:rsidRPr="000A7B6B" w:rsidRDefault="000A7B6B" w:rsidP="000A7B6B">
    <w:pPr>
      <w:pStyle w:val="Hlavika"/>
      <w:jc w:val="right"/>
      <w:rPr>
        <w:sz w:val="22"/>
        <w:szCs w:val="22"/>
        <w:lang w:val="sk-SK"/>
      </w:rPr>
    </w:pPr>
    <w:r w:rsidRPr="000A7B6B">
      <w:rPr>
        <w:sz w:val="22"/>
        <w:szCs w:val="22"/>
        <w:lang w:val="sk-SK"/>
      </w:rPr>
      <w:t xml:space="preserve">Etiketa schválená: </w:t>
    </w:r>
    <w:r w:rsidR="00C400D3">
      <w:rPr>
        <w:sz w:val="22"/>
        <w:szCs w:val="22"/>
        <w:lang w:val="sk-SK"/>
      </w:rPr>
      <w:t>11.10</w:t>
    </w:r>
    <w:r w:rsidR="00A301D2">
      <w:rPr>
        <w:sz w:val="22"/>
        <w:szCs w:val="22"/>
        <w:lang w:val="sk-SK"/>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D022A"/>
    <w:multiLevelType w:val="hybridMultilevel"/>
    <w:tmpl w:val="0F28EF9C"/>
    <w:lvl w:ilvl="0" w:tplc="EB663DC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66"/>
    <w:rsid w:val="000541B3"/>
    <w:rsid w:val="00056566"/>
    <w:rsid w:val="00082F2D"/>
    <w:rsid w:val="0008397A"/>
    <w:rsid w:val="000A7B6B"/>
    <w:rsid w:val="000E40AB"/>
    <w:rsid w:val="00112809"/>
    <w:rsid w:val="001964FC"/>
    <w:rsid w:val="001B35C4"/>
    <w:rsid w:val="001F0DCC"/>
    <w:rsid w:val="0023188D"/>
    <w:rsid w:val="00234288"/>
    <w:rsid w:val="00270AC5"/>
    <w:rsid w:val="002B6D94"/>
    <w:rsid w:val="002D29D3"/>
    <w:rsid w:val="002E3C88"/>
    <w:rsid w:val="002F70D5"/>
    <w:rsid w:val="00306D43"/>
    <w:rsid w:val="00331166"/>
    <w:rsid w:val="0033124B"/>
    <w:rsid w:val="0033234E"/>
    <w:rsid w:val="00351834"/>
    <w:rsid w:val="003556D6"/>
    <w:rsid w:val="00367441"/>
    <w:rsid w:val="0038197E"/>
    <w:rsid w:val="003A1F47"/>
    <w:rsid w:val="003D29F2"/>
    <w:rsid w:val="003E051F"/>
    <w:rsid w:val="00411950"/>
    <w:rsid w:val="004159EC"/>
    <w:rsid w:val="00453E34"/>
    <w:rsid w:val="00455036"/>
    <w:rsid w:val="0045536E"/>
    <w:rsid w:val="00462181"/>
    <w:rsid w:val="0046694E"/>
    <w:rsid w:val="00477DDE"/>
    <w:rsid w:val="0048000D"/>
    <w:rsid w:val="004961E9"/>
    <w:rsid w:val="004A3102"/>
    <w:rsid w:val="00500466"/>
    <w:rsid w:val="00507387"/>
    <w:rsid w:val="005113AA"/>
    <w:rsid w:val="00520A06"/>
    <w:rsid w:val="00520C27"/>
    <w:rsid w:val="00541E24"/>
    <w:rsid w:val="005649F2"/>
    <w:rsid w:val="005904A9"/>
    <w:rsid w:val="005D11E0"/>
    <w:rsid w:val="005D2907"/>
    <w:rsid w:val="005D7101"/>
    <w:rsid w:val="0061343B"/>
    <w:rsid w:val="00641F99"/>
    <w:rsid w:val="00650128"/>
    <w:rsid w:val="006B198A"/>
    <w:rsid w:val="006B5D5C"/>
    <w:rsid w:val="006C6344"/>
    <w:rsid w:val="007158E0"/>
    <w:rsid w:val="0072519B"/>
    <w:rsid w:val="00747E08"/>
    <w:rsid w:val="0077586F"/>
    <w:rsid w:val="00795EC7"/>
    <w:rsid w:val="007D776B"/>
    <w:rsid w:val="007F62CD"/>
    <w:rsid w:val="00840EB6"/>
    <w:rsid w:val="0094004F"/>
    <w:rsid w:val="009A13F7"/>
    <w:rsid w:val="009F7833"/>
    <w:rsid w:val="00A301D2"/>
    <w:rsid w:val="00A30556"/>
    <w:rsid w:val="00A56C91"/>
    <w:rsid w:val="00A90C7F"/>
    <w:rsid w:val="00AB489D"/>
    <w:rsid w:val="00AD56BA"/>
    <w:rsid w:val="00AD6F9B"/>
    <w:rsid w:val="00AE5F3E"/>
    <w:rsid w:val="00B051E1"/>
    <w:rsid w:val="00B35EB3"/>
    <w:rsid w:val="00B40EE3"/>
    <w:rsid w:val="00B75F6E"/>
    <w:rsid w:val="00B9425F"/>
    <w:rsid w:val="00B97286"/>
    <w:rsid w:val="00BA3294"/>
    <w:rsid w:val="00BD4BB5"/>
    <w:rsid w:val="00BE6DCE"/>
    <w:rsid w:val="00BF3E13"/>
    <w:rsid w:val="00C400D3"/>
    <w:rsid w:val="00C52B19"/>
    <w:rsid w:val="00CE3FD5"/>
    <w:rsid w:val="00D0120A"/>
    <w:rsid w:val="00D300AE"/>
    <w:rsid w:val="00D44AB5"/>
    <w:rsid w:val="00D47513"/>
    <w:rsid w:val="00D52EBB"/>
    <w:rsid w:val="00D55705"/>
    <w:rsid w:val="00D56F4F"/>
    <w:rsid w:val="00D7619A"/>
    <w:rsid w:val="00DC4C43"/>
    <w:rsid w:val="00DD5A1A"/>
    <w:rsid w:val="00E10B88"/>
    <w:rsid w:val="00E41FD1"/>
    <w:rsid w:val="00E46056"/>
    <w:rsid w:val="00E47F4A"/>
    <w:rsid w:val="00E6617D"/>
    <w:rsid w:val="00E855F3"/>
    <w:rsid w:val="00EA3F8B"/>
    <w:rsid w:val="00EF2B36"/>
    <w:rsid w:val="00EF4C26"/>
    <w:rsid w:val="00F0392C"/>
    <w:rsid w:val="00F16337"/>
    <w:rsid w:val="00F34073"/>
    <w:rsid w:val="00F342EC"/>
    <w:rsid w:val="00F54063"/>
    <w:rsid w:val="00F61353"/>
    <w:rsid w:val="00F829C0"/>
    <w:rsid w:val="00FB532C"/>
    <w:rsid w:val="00FD5F11"/>
    <w:rsid w:val="00FE56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E26D83-4B32-436D-8D0F-AB0277F0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6C91"/>
    <w:rPr>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500466"/>
    <w:rPr>
      <w:sz w:val="16"/>
      <w:szCs w:val="16"/>
    </w:rPr>
  </w:style>
  <w:style w:type="paragraph" w:styleId="Textkomentra">
    <w:name w:val="annotation text"/>
    <w:basedOn w:val="Normlny"/>
    <w:link w:val="TextkomentraChar"/>
    <w:rsid w:val="00500466"/>
    <w:rPr>
      <w:sz w:val="20"/>
      <w:szCs w:val="20"/>
    </w:rPr>
  </w:style>
  <w:style w:type="character" w:customStyle="1" w:styleId="TextkomentraChar">
    <w:name w:val="Text komentára Char"/>
    <w:link w:val="Textkomentra"/>
    <w:rsid w:val="00500466"/>
    <w:rPr>
      <w:lang w:val="cs-CZ" w:eastAsia="cs-CZ" w:bidi="ar-SA"/>
    </w:rPr>
  </w:style>
  <w:style w:type="paragraph" w:styleId="Textbubliny">
    <w:name w:val="Balloon Text"/>
    <w:basedOn w:val="Normlny"/>
    <w:semiHidden/>
    <w:rsid w:val="00500466"/>
    <w:rPr>
      <w:rFonts w:ascii="Tahoma" w:hAnsi="Tahoma" w:cs="Tahoma"/>
      <w:sz w:val="16"/>
      <w:szCs w:val="16"/>
    </w:rPr>
  </w:style>
  <w:style w:type="character" w:styleId="Hypertextovprepojenie">
    <w:name w:val="Hyperlink"/>
    <w:rsid w:val="00500466"/>
    <w:rPr>
      <w:color w:val="0000FF"/>
      <w:u w:val="single"/>
    </w:rPr>
  </w:style>
  <w:style w:type="paragraph" w:styleId="Hlavika">
    <w:name w:val="header"/>
    <w:basedOn w:val="Normlny"/>
    <w:rsid w:val="00DD5A1A"/>
    <w:pPr>
      <w:tabs>
        <w:tab w:val="center" w:pos="4536"/>
        <w:tab w:val="right" w:pos="9072"/>
      </w:tabs>
    </w:pPr>
  </w:style>
  <w:style w:type="paragraph" w:styleId="Pta">
    <w:name w:val="footer"/>
    <w:basedOn w:val="Normlny"/>
    <w:link w:val="PtaChar"/>
    <w:uiPriority w:val="99"/>
    <w:rsid w:val="00DD5A1A"/>
    <w:pPr>
      <w:tabs>
        <w:tab w:val="center" w:pos="4536"/>
        <w:tab w:val="right" w:pos="9072"/>
      </w:tabs>
    </w:pPr>
  </w:style>
  <w:style w:type="paragraph" w:styleId="Predmetkomentra">
    <w:name w:val="annotation subject"/>
    <w:basedOn w:val="Textkomentra"/>
    <w:next w:val="Textkomentra"/>
    <w:semiHidden/>
    <w:rsid w:val="0046694E"/>
    <w:rPr>
      <w:b/>
      <w:bCs/>
    </w:rPr>
  </w:style>
  <w:style w:type="paragraph" w:customStyle="1" w:styleId="CM1">
    <w:name w:val="CM1"/>
    <w:basedOn w:val="Normlny"/>
    <w:next w:val="Normlny"/>
    <w:rsid w:val="00840EB6"/>
    <w:pPr>
      <w:autoSpaceDE w:val="0"/>
      <w:autoSpaceDN w:val="0"/>
      <w:adjustRightInd w:val="0"/>
    </w:pPr>
  </w:style>
  <w:style w:type="paragraph" w:customStyle="1" w:styleId="CM3">
    <w:name w:val="CM3"/>
    <w:basedOn w:val="Normlny"/>
    <w:next w:val="Normlny"/>
    <w:rsid w:val="00840EB6"/>
    <w:pPr>
      <w:autoSpaceDE w:val="0"/>
      <w:autoSpaceDN w:val="0"/>
      <w:adjustRightInd w:val="0"/>
    </w:pPr>
  </w:style>
  <w:style w:type="character" w:customStyle="1" w:styleId="PtaChar">
    <w:name w:val="Päta Char"/>
    <w:link w:val="Pta"/>
    <w:uiPriority w:val="99"/>
    <w:rsid w:val="00520C27"/>
    <w:rPr>
      <w:sz w:val="24"/>
      <w:szCs w:val="24"/>
      <w:lang w:val="cs-CZ" w:eastAsia="cs-CZ"/>
    </w:rPr>
  </w:style>
  <w:style w:type="paragraph" w:styleId="Zkladntext">
    <w:name w:val="Body Text"/>
    <w:basedOn w:val="Normlny"/>
    <w:link w:val="ZkladntextChar"/>
    <w:uiPriority w:val="99"/>
    <w:rsid w:val="00A56C91"/>
    <w:pPr>
      <w:widowControl w:val="0"/>
      <w:autoSpaceDE w:val="0"/>
      <w:autoSpaceDN w:val="0"/>
      <w:jc w:val="both"/>
    </w:pPr>
    <w:rPr>
      <w:rFonts w:ascii="Arial" w:hAnsi="Arial"/>
      <w:b/>
      <w:bCs/>
      <w:caps/>
    </w:rPr>
  </w:style>
  <w:style w:type="character" w:customStyle="1" w:styleId="ZkladntextChar">
    <w:name w:val="Základný text Char"/>
    <w:link w:val="Zkladntext"/>
    <w:uiPriority w:val="99"/>
    <w:rsid w:val="00A56C91"/>
    <w:rPr>
      <w:rFonts w:ascii="Arial" w:hAnsi="Arial"/>
      <w:b/>
      <w:bCs/>
      <w:caps/>
      <w:sz w:val="24"/>
      <w:szCs w:val="24"/>
      <w:lang w:val="cs-CZ" w:eastAsia="cs-CZ"/>
    </w:rPr>
  </w:style>
  <w:style w:type="paragraph" w:customStyle="1" w:styleId="Style10">
    <w:name w:val="Style10"/>
    <w:basedOn w:val="Normlny"/>
    <w:uiPriority w:val="99"/>
    <w:rsid w:val="00234288"/>
    <w:pPr>
      <w:widowControl w:val="0"/>
      <w:autoSpaceDE w:val="0"/>
      <w:autoSpaceDN w:val="0"/>
      <w:adjustRightInd w:val="0"/>
    </w:pPr>
    <w:rPr>
      <w:rFonts w:ascii="Arial" w:hAnsi="Arial" w:cs="Arial"/>
      <w:lang w:val="es-ES" w:eastAsia="es-ES"/>
    </w:rPr>
  </w:style>
  <w:style w:type="character" w:customStyle="1" w:styleId="FontStyle28">
    <w:name w:val="Font Style28"/>
    <w:uiPriority w:val="99"/>
    <w:rsid w:val="00BD4BB5"/>
    <w:rPr>
      <w:rFonts w:ascii="Arial" w:hAnsi="Arial" w:cs="Arial"/>
      <w:color w:val="000000"/>
      <w:sz w:val="14"/>
      <w:szCs w:val="14"/>
    </w:rPr>
  </w:style>
  <w:style w:type="character" w:customStyle="1" w:styleId="FontStyle26">
    <w:name w:val="Font Style26"/>
    <w:uiPriority w:val="99"/>
    <w:rsid w:val="00BD4BB5"/>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1057</Words>
  <Characters>6025</Characters>
  <Application>Microsoft Office Word</Application>
  <DocSecurity>0</DocSecurity>
  <Lines>50</Lines>
  <Paragraphs>14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Pomocný prípravok v ochrane rastlín pre profesionálnych používateľov</vt:lpstr>
      <vt:lpstr>Pomocný prípravok v ochrane rastlín pre profesionálnych používateľov</vt:lpstr>
      <vt:lpstr>Pomocný prípravok v ochrane rastlín pre profesionálnych používateľov</vt:lpstr>
    </vt:vector>
  </TitlesOfParts>
  <Company>HLUBNA ch.v.d. v Brně</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Pomocný prípravok v ochrane rastlín pre profesionálnych používateľov</dc:title>
  <dc:subject/>
  <dc:creator>Kadlecova</dc:creator>
  <cp:keywords/>
  <cp:lastModifiedBy>Vihonská Zuzana</cp:lastModifiedBy>
  <cp:revision>5</cp:revision>
  <cp:lastPrinted>2016-10-05T16:16:00Z</cp:lastPrinted>
  <dcterms:created xsi:type="dcterms:W3CDTF">2017-10-11T07:49:00Z</dcterms:created>
  <dcterms:modified xsi:type="dcterms:W3CDTF">2017-10-12T06:02:00Z</dcterms:modified>
</cp:coreProperties>
</file>