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1E" w:rsidRPr="008637FD" w:rsidRDefault="00416C1E" w:rsidP="00BC0F4B">
      <w:pPr>
        <w:pStyle w:val="pesticd"/>
        <w:spacing w:after="240"/>
        <w:ind w:left="720" w:firstLine="720"/>
        <w:rPr>
          <w:rFonts w:ascii="Times New Roman" w:hAnsi="Times New Roman"/>
          <w:b w:val="0"/>
          <w:caps w:val="0"/>
          <w:sz w:val="22"/>
          <w:szCs w:val="22"/>
          <w:lang w:val="sk-SK"/>
        </w:rPr>
      </w:pPr>
      <w:r w:rsidRPr="00102F0B">
        <w:rPr>
          <w:rFonts w:ascii="Times New Roman" w:hAnsi="Times New Roman"/>
          <w:b w:val="0"/>
          <w:caps w:val="0"/>
          <w:sz w:val="22"/>
          <w:szCs w:val="22"/>
          <w:lang w:val="sk-SK"/>
        </w:rPr>
        <w:t>POUŽITIE V ZÁHRADÁCH A PREDZÁHRADKÁCH JE POVOLENÉ</w:t>
      </w:r>
    </w:p>
    <w:p w:rsidR="00416C1E" w:rsidRPr="00532670" w:rsidRDefault="00416C1E" w:rsidP="00BC0F4B">
      <w:pPr>
        <w:pStyle w:val="pesticd"/>
        <w:spacing w:after="120"/>
        <w:jc w:val="center"/>
        <w:rPr>
          <w:rFonts w:ascii="Times New Roman" w:hAnsi="Times New Roman"/>
          <w:b w:val="0"/>
          <w:caps w:val="0"/>
          <w:sz w:val="24"/>
          <w:lang w:val="sk-SK"/>
        </w:rPr>
      </w:pPr>
      <w:r>
        <w:rPr>
          <w:rFonts w:ascii="Times New Roman" w:hAnsi="Times New Roman"/>
          <w:b w:val="0"/>
          <w:caps w:val="0"/>
          <w:sz w:val="24"/>
          <w:lang w:val="sk-SK"/>
        </w:rPr>
        <w:t>P</w:t>
      </w:r>
      <w:r w:rsidRPr="00532670">
        <w:rPr>
          <w:rFonts w:ascii="Times New Roman" w:hAnsi="Times New Roman"/>
          <w:b w:val="0"/>
          <w:caps w:val="0"/>
          <w:sz w:val="24"/>
          <w:lang w:val="sk-SK"/>
        </w:rPr>
        <w:t>rípravok na ochranu rastlín</w:t>
      </w:r>
      <w:r>
        <w:rPr>
          <w:rFonts w:ascii="Times New Roman" w:hAnsi="Times New Roman"/>
          <w:b w:val="0"/>
          <w:caps w:val="0"/>
          <w:sz w:val="24"/>
          <w:lang w:val="sk-SK"/>
        </w:rPr>
        <w:t xml:space="preserve"> pre neprofesionálnych používateľov</w:t>
      </w:r>
    </w:p>
    <w:p w:rsidR="00F2653F" w:rsidRDefault="00F2653F" w:rsidP="00A97DE4">
      <w:pPr>
        <w:jc w:val="center"/>
        <w:rPr>
          <w:b/>
          <w:caps/>
          <w:sz w:val="40"/>
          <w:szCs w:val="40"/>
        </w:rPr>
      </w:pPr>
      <w:r w:rsidRPr="00A97DE4">
        <w:rPr>
          <w:b/>
          <w:caps/>
          <w:sz w:val="40"/>
          <w:szCs w:val="40"/>
        </w:rPr>
        <w:t>SpinTor</w:t>
      </w:r>
    </w:p>
    <w:p w:rsidR="00A97DE4" w:rsidRPr="00A97DE4" w:rsidRDefault="00A97DE4" w:rsidP="00A97DE4">
      <w:pPr>
        <w:jc w:val="center"/>
      </w:pPr>
    </w:p>
    <w:p w:rsidR="008607CE" w:rsidRDefault="00F2653F" w:rsidP="00F2653F">
      <w:pPr>
        <w:jc w:val="both"/>
      </w:pPr>
      <w:r w:rsidRPr="00A97DE4">
        <w:t xml:space="preserve">Postrekový insekticíd prírodného pôvodu vo forme </w:t>
      </w:r>
      <w:r w:rsidR="0072070C">
        <w:t xml:space="preserve">kvapalného </w:t>
      </w:r>
      <w:proofErr w:type="spellStart"/>
      <w:r w:rsidRPr="00A97DE4">
        <w:t>suspenzného</w:t>
      </w:r>
      <w:proofErr w:type="spellEnd"/>
      <w:r w:rsidRPr="00A97DE4">
        <w:t xml:space="preserve"> koncentrátu pre riedenie vodou </w:t>
      </w:r>
      <w:r w:rsidR="0072070C">
        <w:t xml:space="preserve">(SC), </w:t>
      </w:r>
      <w:r w:rsidRPr="00A97DE4">
        <w:t>na ochranu kapust</w:t>
      </w:r>
      <w:r w:rsidR="00391534">
        <w:t>y</w:t>
      </w:r>
      <w:r w:rsidR="00155CBB">
        <w:t xml:space="preserve">, </w:t>
      </w:r>
      <w:r w:rsidR="00155CBB" w:rsidRPr="00155CBB">
        <w:t xml:space="preserve">viniča, </w:t>
      </w:r>
      <w:r w:rsidR="00391534">
        <w:t>jablone</w:t>
      </w:r>
      <w:r w:rsidR="00155CBB" w:rsidRPr="00155CBB">
        <w:t xml:space="preserve">, </w:t>
      </w:r>
      <w:r w:rsidR="00391534">
        <w:t xml:space="preserve">zemiakov a na ochranu </w:t>
      </w:r>
      <w:r w:rsidR="00155CBB" w:rsidRPr="00155CBB">
        <w:t>rajčiakov, papriky, uhoriek</w:t>
      </w:r>
      <w:r w:rsidR="00391534">
        <w:t xml:space="preserve"> a</w:t>
      </w:r>
      <w:r w:rsidR="00155CBB" w:rsidRPr="00155CBB">
        <w:t xml:space="preserve"> baklažánu </w:t>
      </w:r>
      <w:r w:rsidR="00391534">
        <w:t>v skleníkoch.</w:t>
      </w:r>
    </w:p>
    <w:p w:rsidR="004A122D" w:rsidRPr="00A97DE4" w:rsidRDefault="004A122D" w:rsidP="00F2653F">
      <w:pPr>
        <w:jc w:val="both"/>
      </w:pPr>
    </w:p>
    <w:p w:rsidR="00F2653F" w:rsidRPr="00A97DE4" w:rsidRDefault="00BC0F4B" w:rsidP="00BC0F4B">
      <w:pPr>
        <w:spacing w:after="120"/>
        <w:ind w:right="-1"/>
        <w:jc w:val="both"/>
        <w:rPr>
          <w:b/>
        </w:rPr>
      </w:pPr>
      <w:r w:rsidRPr="00A97DE4">
        <w:rPr>
          <w:b/>
        </w:rPr>
        <w:t xml:space="preserve">ÚČINNÁ LÁTKA: </w:t>
      </w:r>
    </w:p>
    <w:tbl>
      <w:tblPr>
        <w:tblW w:w="955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0"/>
        <w:gridCol w:w="2693"/>
        <w:gridCol w:w="4962"/>
      </w:tblGrid>
      <w:tr w:rsidR="00A97DE4" w:rsidRPr="005B27AB" w:rsidTr="00B2425A">
        <w:tc>
          <w:tcPr>
            <w:tcW w:w="1900" w:type="dxa"/>
          </w:tcPr>
          <w:p w:rsidR="00A97DE4" w:rsidRPr="005B27AB" w:rsidRDefault="00C84F76" w:rsidP="00C84F76">
            <w:pPr>
              <w:ind w:right="113"/>
            </w:pPr>
            <w:proofErr w:type="spellStart"/>
            <w:r w:rsidRPr="00A97DE4">
              <w:rPr>
                <w:b/>
              </w:rPr>
              <w:t>S</w:t>
            </w:r>
            <w:r w:rsidR="00A97DE4" w:rsidRPr="00A97DE4">
              <w:rPr>
                <w:b/>
              </w:rPr>
              <w:t>pinosad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:rsidR="00BC0F4B" w:rsidRPr="00BC0F4B" w:rsidRDefault="00A97DE4" w:rsidP="00BC0F4B">
            <w:pPr>
              <w:ind w:right="113"/>
              <w:jc w:val="center"/>
              <w:rPr>
                <w:b/>
              </w:rPr>
            </w:pPr>
            <w:r w:rsidRPr="00BC0F4B">
              <w:rPr>
                <w:b/>
              </w:rPr>
              <w:t>240 g</w:t>
            </w:r>
            <w:r w:rsidR="00BC0F4B" w:rsidRPr="00BC0F4B">
              <w:rPr>
                <w:b/>
              </w:rPr>
              <w:t>/</w:t>
            </w:r>
            <w:r w:rsidRPr="00BC0F4B">
              <w:rPr>
                <w:b/>
              </w:rPr>
              <w:t>l</w:t>
            </w:r>
          </w:p>
          <w:p w:rsidR="00A97DE4" w:rsidRPr="005C568A" w:rsidRDefault="005C568A" w:rsidP="00391534">
            <w:pPr>
              <w:ind w:right="113"/>
              <w:jc w:val="center"/>
            </w:pPr>
            <w:r w:rsidRPr="005C568A">
              <w:t>(</w:t>
            </w:r>
            <w:r w:rsidR="00A97DE4" w:rsidRPr="005C568A">
              <w:t xml:space="preserve">22,7 % </w:t>
            </w:r>
            <w:r w:rsidR="00BC0F4B" w:rsidRPr="005C568A">
              <w:t>hm</w:t>
            </w:r>
            <w:r w:rsidRPr="005C568A">
              <w:t>)</w:t>
            </w:r>
          </w:p>
        </w:tc>
        <w:tc>
          <w:tcPr>
            <w:tcW w:w="4962" w:type="dxa"/>
          </w:tcPr>
          <w:p w:rsidR="00A97DE4" w:rsidRPr="00C84F76" w:rsidRDefault="00A97DE4" w:rsidP="00B2425A">
            <w:pPr>
              <w:pStyle w:val="Hlavika"/>
              <w:jc w:val="both"/>
            </w:pPr>
          </w:p>
        </w:tc>
      </w:tr>
    </w:tbl>
    <w:p w:rsidR="00F2653F" w:rsidRPr="00A97DE4" w:rsidRDefault="00F2653F" w:rsidP="00F2653F">
      <w:pPr>
        <w:ind w:right="141"/>
        <w:jc w:val="both"/>
        <w:rPr>
          <w:b/>
        </w:rPr>
      </w:pPr>
    </w:p>
    <w:p w:rsidR="00A97DE4" w:rsidRPr="007C0828" w:rsidRDefault="00AE50C3" w:rsidP="00F2653F">
      <w:pPr>
        <w:ind w:right="141"/>
        <w:jc w:val="both"/>
        <w:rPr>
          <w:b/>
        </w:rPr>
      </w:pPr>
      <w:r w:rsidRPr="007958BD">
        <w:rPr>
          <w:b/>
          <w:kern w:val="28"/>
        </w:rPr>
        <w:t>Látky nebezpečné pre zdravie, ktoré prispievajú ku klasifikácii prípravku</w:t>
      </w:r>
      <w:r w:rsidR="00F2653F" w:rsidRPr="007C0828">
        <w:rPr>
          <w:b/>
        </w:rPr>
        <w:t xml:space="preserve">: </w:t>
      </w:r>
      <w:r w:rsidR="00BC0F4B" w:rsidRPr="00BC0F4B">
        <w:t>nerelevantné</w:t>
      </w:r>
    </w:p>
    <w:p w:rsidR="00F2653F" w:rsidRPr="00A97DE4" w:rsidRDefault="00F2653F" w:rsidP="00F2653F">
      <w:pPr>
        <w:ind w:right="141"/>
        <w:jc w:val="both"/>
        <w:rPr>
          <w:b/>
        </w:rPr>
      </w:pPr>
    </w:p>
    <w:p w:rsidR="00A97DE4" w:rsidRPr="005B27AB" w:rsidRDefault="00BC0F4B" w:rsidP="00A97DE4">
      <w:pPr>
        <w:spacing w:after="100"/>
        <w:jc w:val="both"/>
        <w:rPr>
          <w:b/>
        </w:rPr>
      </w:pPr>
      <w:r w:rsidRPr="00C72125">
        <w:rPr>
          <w:b/>
        </w:rPr>
        <w:t>OZNAČENIE PRÍPRAVKU</w:t>
      </w:r>
      <w:r w:rsidRPr="005B27AB">
        <w:rPr>
          <w:b/>
        </w:rPr>
        <w:t>:</w:t>
      </w:r>
    </w:p>
    <w:tbl>
      <w:tblPr>
        <w:tblW w:w="2071" w:type="dxa"/>
        <w:tblInd w:w="-34" w:type="dxa"/>
        <w:tblLook w:val="00A0" w:firstRow="1" w:lastRow="0" w:firstColumn="1" w:lastColumn="0" w:noHBand="0" w:noVBand="0"/>
      </w:tblPr>
      <w:tblGrid>
        <w:gridCol w:w="2071"/>
      </w:tblGrid>
      <w:tr w:rsidR="00A97DE4" w:rsidRPr="005B27AB" w:rsidTr="00A97DE4">
        <w:trPr>
          <w:trHeight w:val="1420"/>
        </w:trPr>
        <w:tc>
          <w:tcPr>
            <w:tcW w:w="2071" w:type="dxa"/>
          </w:tcPr>
          <w:p w:rsidR="00A97DE4" w:rsidRPr="005B27AB" w:rsidRDefault="002178CF" w:rsidP="00B2425A">
            <w:pPr>
              <w:tabs>
                <w:tab w:val="left" w:pos="1008"/>
              </w:tabs>
              <w:spacing w:before="40" w:after="40"/>
              <w:jc w:val="center"/>
              <w:rPr>
                <w:lang w:eastAsia="sk-SK"/>
              </w:rPr>
            </w:pPr>
            <w:r w:rsidRPr="00FD4342">
              <w:rPr>
                <w:noProof/>
                <w:lang w:eastAsia="sk-SK"/>
              </w:rPr>
              <w:drawing>
                <wp:inline distT="0" distB="0" distL="0" distR="0">
                  <wp:extent cx="790575" cy="790575"/>
                  <wp:effectExtent l="0" t="0" r="0" b="0"/>
                  <wp:docPr id="1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DE4" w:rsidRPr="005B27AB" w:rsidTr="00A97DE4">
        <w:trPr>
          <w:trHeight w:val="443"/>
        </w:trPr>
        <w:tc>
          <w:tcPr>
            <w:tcW w:w="2071" w:type="dxa"/>
            <w:vAlign w:val="center"/>
          </w:tcPr>
          <w:p w:rsidR="00A97DE4" w:rsidRPr="00BC0F4B" w:rsidRDefault="00A97DE4" w:rsidP="00A97DE4">
            <w:pPr>
              <w:tabs>
                <w:tab w:val="left" w:pos="1008"/>
              </w:tabs>
              <w:spacing w:before="40" w:after="40"/>
              <w:jc w:val="center"/>
              <w:rPr>
                <w:lang w:eastAsia="sk-SK"/>
              </w:rPr>
            </w:pPr>
            <w:r w:rsidRPr="00BC0F4B">
              <w:rPr>
                <w:lang w:eastAsia="sk-SK"/>
              </w:rPr>
              <w:t>GHS09</w:t>
            </w:r>
          </w:p>
        </w:tc>
      </w:tr>
    </w:tbl>
    <w:p w:rsidR="00F2653F" w:rsidRPr="008607CE" w:rsidRDefault="002C746E" w:rsidP="00F2653F">
      <w:pPr>
        <w:ind w:right="141"/>
        <w:jc w:val="both"/>
        <w:rPr>
          <w:b/>
          <w:sz w:val="28"/>
          <w:szCs w:val="28"/>
        </w:rPr>
      </w:pPr>
      <w:r w:rsidRPr="008607CE">
        <w:rPr>
          <w:b/>
          <w:sz w:val="28"/>
          <w:szCs w:val="28"/>
        </w:rPr>
        <w:t>Pozor</w:t>
      </w:r>
      <w:r w:rsidR="00F2653F" w:rsidRPr="008607CE">
        <w:rPr>
          <w:b/>
          <w:sz w:val="28"/>
          <w:szCs w:val="28"/>
        </w:rPr>
        <w:t xml:space="preserve">  </w:t>
      </w:r>
      <w:r w:rsidR="00F2653F" w:rsidRPr="008607CE">
        <w:rPr>
          <w:b/>
          <w:sz w:val="28"/>
          <w:szCs w:val="28"/>
        </w:rPr>
        <w:tab/>
      </w:r>
    </w:p>
    <w:p w:rsidR="00F2653F" w:rsidRPr="00A97DE4" w:rsidRDefault="00F2653F" w:rsidP="00F2653F">
      <w:pPr>
        <w:ind w:right="141"/>
        <w:jc w:val="both"/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1135"/>
        <w:gridCol w:w="8505"/>
      </w:tblGrid>
      <w:tr w:rsidR="00A97DE4" w:rsidRPr="005B27AB" w:rsidTr="007C0828">
        <w:tc>
          <w:tcPr>
            <w:tcW w:w="1135" w:type="dxa"/>
          </w:tcPr>
          <w:p w:rsidR="00A97DE4" w:rsidRPr="00A97DE4" w:rsidRDefault="00A97DE4" w:rsidP="00B2425A">
            <w:pPr>
              <w:spacing w:before="40" w:after="40"/>
              <w:jc w:val="both"/>
              <w:rPr>
                <w:b/>
                <w:lang w:eastAsia="sk-SK"/>
              </w:rPr>
            </w:pPr>
            <w:r w:rsidRPr="00A97DE4">
              <w:rPr>
                <w:b/>
                <w:lang w:eastAsia="sk-SK"/>
              </w:rPr>
              <w:t>H410</w:t>
            </w:r>
          </w:p>
        </w:tc>
        <w:tc>
          <w:tcPr>
            <w:tcW w:w="8505" w:type="dxa"/>
          </w:tcPr>
          <w:p w:rsidR="00A97DE4" w:rsidRPr="00D166BC" w:rsidRDefault="007C0828" w:rsidP="00B2425A">
            <w:pPr>
              <w:spacing w:before="40" w:after="40"/>
              <w:jc w:val="both"/>
              <w:rPr>
                <w:b/>
                <w:color w:val="A6A6A6"/>
                <w:lang w:eastAsia="sk-SK"/>
              </w:rPr>
            </w:pPr>
            <w:r w:rsidRPr="00D166BC">
              <w:rPr>
                <w:b/>
              </w:rPr>
              <w:t>Veľmi toxický pre vodné organizmy, s dlhodobými účinkami.</w:t>
            </w:r>
          </w:p>
        </w:tc>
      </w:tr>
      <w:tr w:rsidR="00A97DE4" w:rsidRPr="005B27AB" w:rsidTr="007C0828">
        <w:tc>
          <w:tcPr>
            <w:tcW w:w="1135" w:type="dxa"/>
          </w:tcPr>
          <w:p w:rsidR="00A97DE4" w:rsidRPr="00A97DE4" w:rsidRDefault="00A97DE4" w:rsidP="00B2425A">
            <w:pPr>
              <w:spacing w:before="40" w:after="40"/>
              <w:jc w:val="both"/>
              <w:rPr>
                <w:b/>
                <w:lang w:eastAsia="sk-SK"/>
              </w:rPr>
            </w:pPr>
            <w:r w:rsidRPr="00A97DE4">
              <w:rPr>
                <w:b/>
                <w:lang w:eastAsia="sk-SK"/>
              </w:rPr>
              <w:t>EUH208</w:t>
            </w:r>
          </w:p>
        </w:tc>
        <w:tc>
          <w:tcPr>
            <w:tcW w:w="8505" w:type="dxa"/>
          </w:tcPr>
          <w:p w:rsidR="00A97DE4" w:rsidRPr="00D166BC" w:rsidRDefault="007C0828" w:rsidP="007C0828">
            <w:pPr>
              <w:spacing w:before="40" w:after="40"/>
              <w:jc w:val="both"/>
              <w:rPr>
                <w:b/>
                <w:lang w:eastAsia="sk-SK"/>
              </w:rPr>
            </w:pPr>
            <w:r w:rsidRPr="00D166BC">
              <w:rPr>
                <w:b/>
              </w:rPr>
              <w:t xml:space="preserve">Obsahuje </w:t>
            </w:r>
            <w:proofErr w:type="spellStart"/>
            <w:r w:rsidRPr="00D166BC">
              <w:rPr>
                <w:b/>
              </w:rPr>
              <w:t>spinosad</w:t>
            </w:r>
            <w:proofErr w:type="spellEnd"/>
            <w:r w:rsidRPr="00D166BC">
              <w:rPr>
                <w:b/>
              </w:rPr>
              <w:t>. Môže vyvolať alergickú reakciu.</w:t>
            </w:r>
          </w:p>
        </w:tc>
      </w:tr>
      <w:tr w:rsidR="00A97DE4" w:rsidRPr="005B27AB" w:rsidTr="007C0828">
        <w:tc>
          <w:tcPr>
            <w:tcW w:w="1135" w:type="dxa"/>
          </w:tcPr>
          <w:p w:rsidR="00A97DE4" w:rsidRPr="00A97DE4" w:rsidRDefault="00A97DE4" w:rsidP="00B2425A">
            <w:pPr>
              <w:spacing w:before="40" w:after="40"/>
              <w:jc w:val="both"/>
              <w:rPr>
                <w:b/>
                <w:lang w:eastAsia="sk-SK"/>
              </w:rPr>
            </w:pPr>
            <w:r w:rsidRPr="00A97DE4">
              <w:rPr>
                <w:b/>
                <w:lang w:eastAsia="sk-SK"/>
              </w:rPr>
              <w:t>EUH401</w:t>
            </w:r>
          </w:p>
        </w:tc>
        <w:tc>
          <w:tcPr>
            <w:tcW w:w="8505" w:type="dxa"/>
          </w:tcPr>
          <w:p w:rsidR="00A97DE4" w:rsidRPr="005B27AB" w:rsidRDefault="00A97DE4" w:rsidP="00B2425A">
            <w:pPr>
              <w:spacing w:before="40" w:after="40"/>
              <w:jc w:val="both"/>
              <w:rPr>
                <w:b/>
                <w:lang w:eastAsia="sk-SK"/>
              </w:rPr>
            </w:pPr>
            <w:r w:rsidRPr="005B27AB">
              <w:rPr>
                <w:b/>
                <w:lang w:eastAsia="sk-SK"/>
              </w:rPr>
              <w:t>Dodržiavajte návod na používanie, aby ste zabránili vzniku rizík pre zdravie ľudí a životné prostredie.</w:t>
            </w:r>
          </w:p>
        </w:tc>
      </w:tr>
      <w:tr w:rsidR="00A97DE4" w:rsidRPr="005B27AB" w:rsidTr="007C0828">
        <w:tc>
          <w:tcPr>
            <w:tcW w:w="1135" w:type="dxa"/>
          </w:tcPr>
          <w:p w:rsidR="00A97DE4" w:rsidRPr="00D166BC" w:rsidRDefault="00A97DE4" w:rsidP="00B2425A">
            <w:pPr>
              <w:spacing w:before="40" w:after="40"/>
              <w:jc w:val="both"/>
              <w:rPr>
                <w:lang w:eastAsia="sk-SK"/>
              </w:rPr>
            </w:pPr>
            <w:r w:rsidRPr="00D166BC">
              <w:rPr>
                <w:lang w:eastAsia="sk-SK"/>
              </w:rPr>
              <w:t>P391</w:t>
            </w:r>
          </w:p>
        </w:tc>
        <w:tc>
          <w:tcPr>
            <w:tcW w:w="8505" w:type="dxa"/>
          </w:tcPr>
          <w:p w:rsidR="00A97DE4" w:rsidRPr="00A97DE4" w:rsidRDefault="007C0828" w:rsidP="00B2425A">
            <w:pPr>
              <w:spacing w:before="40" w:after="40"/>
              <w:jc w:val="both"/>
              <w:rPr>
                <w:color w:val="A6A6A6"/>
                <w:lang w:eastAsia="sk-SK"/>
              </w:rPr>
            </w:pPr>
            <w:r w:rsidRPr="00B13245">
              <w:t>Zozbierajte uniknutý produkt.</w:t>
            </w:r>
          </w:p>
        </w:tc>
      </w:tr>
      <w:tr w:rsidR="00A97DE4" w:rsidRPr="005B27AB" w:rsidTr="007C0828">
        <w:tc>
          <w:tcPr>
            <w:tcW w:w="1135" w:type="dxa"/>
          </w:tcPr>
          <w:p w:rsidR="00A97DE4" w:rsidRPr="00D166BC" w:rsidRDefault="00A97DE4" w:rsidP="00B2425A">
            <w:pPr>
              <w:spacing w:before="40" w:after="40"/>
              <w:jc w:val="both"/>
              <w:rPr>
                <w:lang w:eastAsia="sk-SK"/>
              </w:rPr>
            </w:pPr>
            <w:r w:rsidRPr="00D166BC">
              <w:rPr>
                <w:lang w:eastAsia="sk-SK"/>
              </w:rPr>
              <w:t>P501</w:t>
            </w:r>
          </w:p>
        </w:tc>
        <w:tc>
          <w:tcPr>
            <w:tcW w:w="8505" w:type="dxa"/>
          </w:tcPr>
          <w:p w:rsidR="00A97DE4" w:rsidRPr="00A97DE4" w:rsidRDefault="007C0828" w:rsidP="00B2425A">
            <w:pPr>
              <w:spacing w:before="40" w:after="40"/>
              <w:jc w:val="both"/>
              <w:rPr>
                <w:color w:val="A6A6A6"/>
                <w:lang w:eastAsia="sk-SK"/>
              </w:rPr>
            </w:pPr>
            <w:r w:rsidRPr="00B13245">
              <w:t>Zneškodnite obsah/nádobu</w:t>
            </w:r>
            <w:r>
              <w:t xml:space="preserve"> v súlade s platnými predpismi.</w:t>
            </w:r>
          </w:p>
        </w:tc>
      </w:tr>
    </w:tbl>
    <w:p w:rsidR="00A97DE4" w:rsidRDefault="00A97DE4" w:rsidP="00A97DE4">
      <w:pPr>
        <w:ind w:left="709" w:hanging="709"/>
        <w:jc w:val="both"/>
        <w:rPr>
          <w:b/>
        </w:rPr>
      </w:pPr>
    </w:p>
    <w:p w:rsidR="00A97DE4" w:rsidRDefault="00A97DE4" w:rsidP="00A97DE4">
      <w:pPr>
        <w:ind w:left="709" w:hanging="709"/>
        <w:jc w:val="both"/>
        <w:rPr>
          <w:b/>
        </w:rPr>
      </w:pPr>
      <w:r w:rsidRPr="00A97DE4">
        <w:rPr>
          <w:b/>
        </w:rPr>
        <w:t>SP1</w:t>
      </w:r>
      <w:r w:rsidRPr="00A97DE4">
        <w:t xml:space="preserve"> </w:t>
      </w:r>
      <w:r w:rsidRPr="00A97DE4">
        <w:tab/>
      </w:r>
      <w:r w:rsidR="00D166BC" w:rsidRPr="00155CBB">
        <w:rPr>
          <w:b/>
        </w:rPr>
        <w:t xml:space="preserve">Neznečisťujte </w:t>
      </w:r>
      <w:r w:rsidRPr="00155CBB">
        <w:rPr>
          <w:b/>
        </w:rPr>
        <w:t xml:space="preserve">vodu prípravkom alebo jeho obalom. </w:t>
      </w:r>
      <w:r w:rsidR="00D166BC" w:rsidRPr="00155CBB">
        <w:rPr>
          <w:b/>
        </w:rPr>
        <w:t>(</w:t>
      </w:r>
      <w:r w:rsidRPr="00155CBB">
        <w:rPr>
          <w:b/>
        </w:rPr>
        <w:t>Nečisti</w:t>
      </w:r>
      <w:r w:rsidR="00D166BC" w:rsidRPr="00155CBB">
        <w:rPr>
          <w:b/>
        </w:rPr>
        <w:t>te</w:t>
      </w:r>
      <w:r w:rsidRPr="00155CBB">
        <w:rPr>
          <w:b/>
        </w:rPr>
        <w:t xml:space="preserve"> aplikačné zariadeni</w:t>
      </w:r>
      <w:r w:rsidR="00D166BC" w:rsidRPr="00155CBB">
        <w:rPr>
          <w:b/>
        </w:rPr>
        <w:t>e</w:t>
      </w:r>
      <w:r w:rsidRPr="00155CBB">
        <w:rPr>
          <w:b/>
        </w:rPr>
        <w:t xml:space="preserve"> v blízkosti povrchových vôd</w:t>
      </w:r>
      <w:r w:rsidR="00D166BC" w:rsidRPr="00155CBB">
        <w:rPr>
          <w:b/>
        </w:rPr>
        <w:t xml:space="preserve">/Zabráňte </w:t>
      </w:r>
      <w:r w:rsidRPr="00155CBB">
        <w:rPr>
          <w:b/>
        </w:rPr>
        <w:t>kontaminácii prostredníctvom odtokových kanálov z poľno</w:t>
      </w:r>
      <w:r w:rsidR="008607CE" w:rsidRPr="00155CBB">
        <w:rPr>
          <w:b/>
        </w:rPr>
        <w:t>hospodárskych dvorov a vozoviek</w:t>
      </w:r>
      <w:r w:rsidR="00D166BC" w:rsidRPr="00155CBB">
        <w:rPr>
          <w:b/>
        </w:rPr>
        <w:t>)</w:t>
      </w:r>
      <w:r w:rsidRPr="00155CBB">
        <w:rPr>
          <w:b/>
        </w:rPr>
        <w:t>.</w:t>
      </w:r>
    </w:p>
    <w:p w:rsidR="00155CBB" w:rsidRPr="00A97DE4" w:rsidRDefault="00155CBB" w:rsidP="00A97DE4">
      <w:pPr>
        <w:ind w:left="709" w:hanging="709"/>
        <w:jc w:val="both"/>
      </w:pPr>
      <w:r w:rsidRPr="00A97DE4">
        <w:rPr>
          <w:b/>
        </w:rPr>
        <w:t>Spe3</w:t>
      </w:r>
      <w:r>
        <w:rPr>
          <w:b/>
        </w:rPr>
        <w:tab/>
      </w:r>
      <w:r w:rsidR="00A5221F" w:rsidRPr="00155CBB">
        <w:rPr>
          <w:b/>
        </w:rPr>
        <w:t>Z dôvodu ochrany vodných organizmov</w:t>
      </w:r>
      <w:r w:rsidR="00A5221F">
        <w:rPr>
          <w:b/>
        </w:rPr>
        <w:t xml:space="preserve"> </w:t>
      </w:r>
      <w:r w:rsidR="00A5221F" w:rsidRPr="00A5221F">
        <w:rPr>
          <w:b/>
        </w:rPr>
        <w:t>(</w:t>
      </w:r>
      <w:proofErr w:type="spellStart"/>
      <w:r w:rsidR="00A5221F" w:rsidRPr="00A5221F">
        <w:rPr>
          <w:b/>
        </w:rPr>
        <w:t>makrozoobentosu</w:t>
      </w:r>
      <w:proofErr w:type="spellEnd"/>
      <w:r w:rsidR="00A5221F" w:rsidRPr="00A5221F">
        <w:rPr>
          <w:b/>
        </w:rPr>
        <w:t>)</w:t>
      </w:r>
      <w:r w:rsidR="00A5221F" w:rsidRPr="00A5221F">
        <w:t xml:space="preserve"> </w:t>
      </w:r>
      <w:r w:rsidR="00A5221F" w:rsidRPr="00A5221F">
        <w:rPr>
          <w:b/>
        </w:rPr>
        <w:t xml:space="preserve">udržiavajte medzi ošetrovanou plochou a povrchovými vodnými plochami v prípade ošetrenia </w:t>
      </w:r>
      <w:r w:rsidR="00A5221F">
        <w:rPr>
          <w:b/>
        </w:rPr>
        <w:t>jabloní</w:t>
      </w:r>
      <w:r w:rsidR="00A5221F" w:rsidRPr="00A5221F">
        <w:rPr>
          <w:b/>
        </w:rPr>
        <w:t xml:space="preserve"> ochranný pás zeme v dĺžke </w:t>
      </w:r>
      <w:r w:rsidR="00A5221F">
        <w:rPr>
          <w:b/>
        </w:rPr>
        <w:t>3</w:t>
      </w:r>
      <w:r w:rsidR="00A5221F" w:rsidRPr="00A5221F">
        <w:rPr>
          <w:b/>
        </w:rPr>
        <w:t>0 metrov.</w:t>
      </w:r>
    </w:p>
    <w:p w:rsidR="00A97DE4" w:rsidRPr="00A97DE4" w:rsidRDefault="00A97DE4" w:rsidP="00A97DE4">
      <w:pPr>
        <w:ind w:left="709" w:hanging="709"/>
        <w:jc w:val="both"/>
      </w:pPr>
      <w:r w:rsidRPr="00A97DE4">
        <w:rPr>
          <w:b/>
        </w:rPr>
        <w:t>Spe3</w:t>
      </w:r>
      <w:r w:rsidRPr="00A97DE4">
        <w:rPr>
          <w:b/>
        </w:rPr>
        <w:tab/>
      </w:r>
      <w:r w:rsidR="00250AB9" w:rsidRPr="00155CBB">
        <w:rPr>
          <w:b/>
        </w:rPr>
        <w:t>Z dôvodu</w:t>
      </w:r>
      <w:r w:rsidRPr="00155CBB">
        <w:rPr>
          <w:b/>
        </w:rPr>
        <w:t xml:space="preserve"> ochrany vodných organizmov (</w:t>
      </w:r>
      <w:proofErr w:type="spellStart"/>
      <w:r w:rsidRPr="00155CBB">
        <w:rPr>
          <w:b/>
        </w:rPr>
        <w:t>makrozoobentosu</w:t>
      </w:r>
      <w:proofErr w:type="spellEnd"/>
      <w:r w:rsidRPr="00155CBB">
        <w:rPr>
          <w:b/>
        </w:rPr>
        <w:t xml:space="preserve">) </w:t>
      </w:r>
      <w:r w:rsidR="00250AB9" w:rsidRPr="00155CBB">
        <w:rPr>
          <w:b/>
        </w:rPr>
        <w:t xml:space="preserve">udržiavajte medzi ošetrovanou plochou a povrchovými vodnými plochami </w:t>
      </w:r>
      <w:r w:rsidRPr="00155CBB">
        <w:rPr>
          <w:b/>
        </w:rPr>
        <w:t xml:space="preserve">v prípade ošetrenia zeleniny </w:t>
      </w:r>
      <w:r w:rsidR="00A5221F">
        <w:rPr>
          <w:b/>
        </w:rPr>
        <w:t xml:space="preserve">a viniča </w:t>
      </w:r>
      <w:r w:rsidR="00250AB9" w:rsidRPr="00155CBB">
        <w:rPr>
          <w:b/>
        </w:rPr>
        <w:t xml:space="preserve">ochranný pás zeme v dĺžke </w:t>
      </w:r>
      <w:r w:rsidRPr="00155CBB">
        <w:rPr>
          <w:b/>
        </w:rPr>
        <w:t>10 metrov</w:t>
      </w:r>
      <w:r w:rsidR="00250AB9" w:rsidRPr="00155CBB">
        <w:rPr>
          <w:b/>
        </w:rPr>
        <w:t>.</w:t>
      </w:r>
      <w:r w:rsidRPr="00A97DE4">
        <w:t xml:space="preserve"> </w:t>
      </w:r>
    </w:p>
    <w:p w:rsidR="00A97DE4" w:rsidRPr="00A97DE4" w:rsidRDefault="00A97DE4" w:rsidP="007C0828">
      <w:pPr>
        <w:ind w:right="-1"/>
        <w:jc w:val="both"/>
        <w:rPr>
          <w:b/>
        </w:rPr>
      </w:pPr>
    </w:p>
    <w:p w:rsidR="00F2653F" w:rsidRPr="00D166BC" w:rsidRDefault="00F2653F" w:rsidP="00F2653F">
      <w:pPr>
        <w:ind w:left="709" w:right="-1" w:hanging="709"/>
        <w:jc w:val="both"/>
        <w:rPr>
          <w:b/>
        </w:rPr>
      </w:pPr>
      <w:r w:rsidRPr="00A97DE4">
        <w:rPr>
          <w:b/>
        </w:rPr>
        <w:t>Z1</w:t>
      </w:r>
      <w:r w:rsidRPr="00A97DE4">
        <w:t xml:space="preserve"> </w:t>
      </w:r>
      <w:r w:rsidRPr="00A97DE4">
        <w:tab/>
      </w:r>
      <w:r w:rsidRPr="00D166BC">
        <w:rPr>
          <w:b/>
        </w:rPr>
        <w:t xml:space="preserve">Pre domáce, hospodárske a voľne žijúce zvieratá zvlášť nebezpečný </w:t>
      </w:r>
      <w:r w:rsidR="00BC0F4B" w:rsidRPr="00D166BC">
        <w:rPr>
          <w:b/>
        </w:rPr>
        <w:t>osobitne</w:t>
      </w:r>
      <w:r w:rsidRPr="00D166BC">
        <w:rPr>
          <w:b/>
        </w:rPr>
        <w:t xml:space="preserve"> pre prežúvavce. </w:t>
      </w:r>
    </w:p>
    <w:p w:rsidR="00F2653F" w:rsidRDefault="00F2653F" w:rsidP="00F2653F">
      <w:pPr>
        <w:ind w:left="709" w:right="-1" w:hanging="709"/>
        <w:jc w:val="both"/>
        <w:rPr>
          <w:b/>
        </w:rPr>
      </w:pPr>
      <w:r w:rsidRPr="00D166BC">
        <w:rPr>
          <w:b/>
        </w:rPr>
        <w:lastRenderedPageBreak/>
        <w:t>Vt5</w:t>
      </w:r>
      <w:r w:rsidRPr="00D166BC">
        <w:rPr>
          <w:b/>
        </w:rPr>
        <w:tab/>
        <w:t>Riziko vyplývajúce z použitia prípravku pri dodržaní predpísanej dávky alebo koncentrácie je pre vtáky prijateľné</w:t>
      </w:r>
      <w:r w:rsidR="00BC0F4B" w:rsidRPr="00D166BC">
        <w:rPr>
          <w:b/>
        </w:rPr>
        <w:t>.</w:t>
      </w:r>
    </w:p>
    <w:p w:rsidR="00250AB9" w:rsidRPr="00D166BC" w:rsidRDefault="00250AB9" w:rsidP="00250AB9">
      <w:pPr>
        <w:ind w:left="709" w:right="141" w:hanging="709"/>
        <w:jc w:val="both"/>
        <w:rPr>
          <w:b/>
        </w:rPr>
      </w:pPr>
      <w:r w:rsidRPr="00D166BC">
        <w:rPr>
          <w:b/>
        </w:rPr>
        <w:t>Vo2</w:t>
      </w:r>
      <w:r w:rsidRPr="00D166BC">
        <w:rPr>
          <w:b/>
        </w:rPr>
        <w:tab/>
        <w:t>Pre ryby a ostatné vodné organizmy jedovatý.</w:t>
      </w:r>
    </w:p>
    <w:p w:rsidR="00F2653F" w:rsidRPr="00D166BC" w:rsidRDefault="00F2653F" w:rsidP="00F2653F">
      <w:pPr>
        <w:ind w:left="709" w:right="-1" w:hanging="709"/>
        <w:jc w:val="both"/>
        <w:rPr>
          <w:b/>
        </w:rPr>
      </w:pPr>
      <w:r w:rsidRPr="00D166BC">
        <w:rPr>
          <w:b/>
        </w:rPr>
        <w:t>V3</w:t>
      </w:r>
      <w:r w:rsidRPr="00D166BC">
        <w:rPr>
          <w:b/>
        </w:rPr>
        <w:tab/>
        <w:t>Riziko prípravku je prijateľné pre dážďovky</w:t>
      </w:r>
      <w:r w:rsidR="00D166BC" w:rsidRPr="00D166BC">
        <w:rPr>
          <w:b/>
        </w:rPr>
        <w:t xml:space="preserve"> a iné pôdne makroorganizmy</w:t>
      </w:r>
      <w:r w:rsidRPr="00D166BC">
        <w:rPr>
          <w:b/>
        </w:rPr>
        <w:t xml:space="preserve">. </w:t>
      </w:r>
    </w:p>
    <w:p w:rsidR="00A97DE4" w:rsidRPr="00D166BC" w:rsidRDefault="00A97DE4" w:rsidP="00A97DE4">
      <w:pPr>
        <w:ind w:left="709" w:right="-1" w:hanging="709"/>
        <w:jc w:val="both"/>
        <w:rPr>
          <w:b/>
        </w:rPr>
      </w:pPr>
      <w:r w:rsidRPr="00D166BC">
        <w:rPr>
          <w:b/>
        </w:rPr>
        <w:t>Vč2</w:t>
      </w:r>
      <w:r w:rsidRPr="00D166BC">
        <w:rPr>
          <w:b/>
        </w:rPr>
        <w:tab/>
      </w:r>
      <w:r w:rsidR="00BC0F4B" w:rsidRPr="00D166BC">
        <w:rPr>
          <w:b/>
        </w:rPr>
        <w:t>Prípravok pre včely škodlivý</w:t>
      </w:r>
      <w:r w:rsidRPr="00D166BC">
        <w:rPr>
          <w:b/>
        </w:rPr>
        <w:t>.</w:t>
      </w:r>
    </w:p>
    <w:p w:rsidR="00A97DE4" w:rsidRPr="00D166BC" w:rsidRDefault="00A97DE4" w:rsidP="00F2653F">
      <w:pPr>
        <w:ind w:right="-1"/>
        <w:jc w:val="both"/>
        <w:rPr>
          <w:b/>
        </w:rPr>
      </w:pPr>
    </w:p>
    <w:p w:rsidR="00D772F3" w:rsidRPr="00D772F3" w:rsidRDefault="00D772F3" w:rsidP="00D772F3">
      <w:pPr>
        <w:overflowPunct w:val="0"/>
        <w:adjustRightInd w:val="0"/>
        <w:jc w:val="both"/>
        <w:textAlignment w:val="baseline"/>
        <w:rPr>
          <w:b/>
        </w:rPr>
      </w:pPr>
      <w:r w:rsidRPr="00D772F3">
        <w:rPr>
          <w:b/>
        </w:rPr>
        <w:t>Zákaz používania prípravku v 1. ochrannom pásme zdrojov pitných vôd!</w:t>
      </w:r>
    </w:p>
    <w:p w:rsidR="00D772F3" w:rsidRPr="00D772F3" w:rsidRDefault="00D772F3" w:rsidP="00D772F3">
      <w:pPr>
        <w:jc w:val="both"/>
        <w:rPr>
          <w:b/>
          <w:noProof/>
          <w:lang w:eastAsia="en-US"/>
        </w:rPr>
      </w:pPr>
      <w:r w:rsidRPr="00D772F3">
        <w:rPr>
          <w:b/>
          <w:noProof/>
          <w:lang w:eastAsia="en-US"/>
        </w:rPr>
        <w:t>Nepoužívajte v blízkosti studní a</w:t>
      </w:r>
      <w:r w:rsidR="00250AB9">
        <w:rPr>
          <w:b/>
          <w:noProof/>
          <w:lang w:eastAsia="en-US"/>
        </w:rPr>
        <w:t xml:space="preserve"> </w:t>
      </w:r>
      <w:r w:rsidRPr="00D772F3">
        <w:rPr>
          <w:b/>
          <w:noProof/>
          <w:lang w:eastAsia="en-US"/>
        </w:rPr>
        <w:t>studničiek!</w:t>
      </w:r>
    </w:p>
    <w:p w:rsidR="00F2653F" w:rsidRPr="00A97DE4" w:rsidRDefault="00F2653F" w:rsidP="00F2653F">
      <w:pPr>
        <w:ind w:right="-1"/>
        <w:jc w:val="both"/>
        <w:rPr>
          <w:b/>
        </w:rPr>
      </w:pPr>
      <w:r w:rsidRPr="00A97DE4">
        <w:rPr>
          <w:b/>
        </w:rPr>
        <w:t>Dbajte o to, aby sa prípravok v žiadnom prípade nedostal do tečúcich a stojatých vôd vo voľnej prírode!</w:t>
      </w:r>
    </w:p>
    <w:p w:rsidR="00F2653F" w:rsidRDefault="00F2653F" w:rsidP="00F2653F">
      <w:pPr>
        <w:ind w:right="-1"/>
        <w:jc w:val="both"/>
        <w:rPr>
          <w:b/>
        </w:rPr>
      </w:pPr>
      <w:r w:rsidRPr="00A97DE4">
        <w:rPr>
          <w:b/>
        </w:rPr>
        <w:t>Neaplikujte v blízkosti hladín tečúcich a stojatých vôd! Dodržujte ochrannú zónu!</w:t>
      </w:r>
    </w:p>
    <w:p w:rsidR="002C6064" w:rsidRPr="00A97DE4" w:rsidRDefault="002C6064" w:rsidP="002C6064">
      <w:pPr>
        <w:ind w:right="-1"/>
        <w:jc w:val="both"/>
        <w:rPr>
          <w:b/>
        </w:rPr>
      </w:pPr>
      <w:r w:rsidRPr="00A97DE4">
        <w:rPr>
          <w:b/>
        </w:rPr>
        <w:t>Pri aplikácii do skleníkov, kde sa používajú opeľovače (čmeliaky), tieto treba izolovať večer pred aplikáciou a opätovne vložiť najskôr 48 hod. po aplikácii.</w:t>
      </w:r>
    </w:p>
    <w:p w:rsidR="002C6064" w:rsidRPr="00A97DE4" w:rsidRDefault="002C6064" w:rsidP="002C6064">
      <w:pPr>
        <w:ind w:right="-1"/>
        <w:jc w:val="both"/>
        <w:rPr>
          <w:b/>
        </w:rPr>
      </w:pPr>
      <w:r w:rsidRPr="00A97DE4">
        <w:rPr>
          <w:b/>
        </w:rPr>
        <w:t xml:space="preserve">Pri aplikácii </w:t>
      </w:r>
      <w:r>
        <w:rPr>
          <w:b/>
        </w:rPr>
        <w:t>dbajte o to</w:t>
      </w:r>
      <w:r w:rsidRPr="00A97DE4">
        <w:rPr>
          <w:b/>
        </w:rPr>
        <w:t>, aby v ošetrovanej kultúre neboli kvitnúce buriny!</w:t>
      </w:r>
    </w:p>
    <w:p w:rsidR="008607CE" w:rsidRDefault="002C6064" w:rsidP="00416C1E">
      <w:pPr>
        <w:tabs>
          <w:tab w:val="left" w:pos="1491"/>
        </w:tabs>
        <w:rPr>
          <w:b/>
        </w:rPr>
      </w:pPr>
      <w:r w:rsidRPr="00A97DE4">
        <w:rPr>
          <w:b/>
        </w:rPr>
        <w:t>Neaplik</w:t>
      </w:r>
      <w:r w:rsidR="00C64CAA">
        <w:rPr>
          <w:b/>
        </w:rPr>
        <w:t>ujte</w:t>
      </w:r>
      <w:r w:rsidRPr="00A97DE4">
        <w:rPr>
          <w:b/>
        </w:rPr>
        <w:t xml:space="preserve"> v čase letu včiel!</w:t>
      </w:r>
    </w:p>
    <w:p w:rsidR="00416C1E" w:rsidRPr="00416C1E" w:rsidRDefault="00416C1E" w:rsidP="00416C1E">
      <w:pPr>
        <w:tabs>
          <w:tab w:val="left" w:pos="1491"/>
        </w:tabs>
        <w:rPr>
          <w:b/>
        </w:rPr>
      </w:pPr>
      <w:r w:rsidRPr="00416C1E">
        <w:rPr>
          <w:b/>
        </w:rPr>
        <w:t>Poškodzuje zdravie po požití, nadýchaní a styku s pokožkou!</w:t>
      </w:r>
    </w:p>
    <w:p w:rsidR="00416C1E" w:rsidRPr="00416C1E" w:rsidRDefault="00416C1E" w:rsidP="00416C1E">
      <w:pPr>
        <w:tabs>
          <w:tab w:val="left" w:pos="1491"/>
        </w:tabs>
        <w:rPr>
          <w:b/>
        </w:rPr>
      </w:pPr>
      <w:r w:rsidRPr="00416C1E">
        <w:rPr>
          <w:b/>
        </w:rPr>
        <w:t>Chráňte pred deťmi a nepoučenými osobami!</w:t>
      </w:r>
    </w:p>
    <w:p w:rsidR="00416C1E" w:rsidRPr="00416C1E" w:rsidRDefault="00416C1E" w:rsidP="00416C1E">
      <w:pPr>
        <w:pStyle w:val="odrazka"/>
        <w:ind w:left="0" w:firstLine="0"/>
        <w:rPr>
          <w:b/>
          <w:szCs w:val="24"/>
          <w:lang w:val="sk-SK"/>
        </w:rPr>
      </w:pPr>
      <w:r w:rsidRPr="00416C1E">
        <w:rPr>
          <w:b/>
          <w:szCs w:val="24"/>
          <w:lang w:val="sk-SK"/>
        </w:rPr>
        <w:t>Uložte mimo dosahu zvierat!</w:t>
      </w:r>
    </w:p>
    <w:p w:rsidR="00D772F3" w:rsidRDefault="00D772F3" w:rsidP="00F2653F">
      <w:pPr>
        <w:ind w:right="-1"/>
        <w:jc w:val="both"/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3621"/>
        <w:gridCol w:w="5817"/>
      </w:tblGrid>
      <w:tr w:rsidR="00416C1E" w:rsidRPr="002D5BF5" w:rsidTr="00416C1E">
        <w:tc>
          <w:tcPr>
            <w:tcW w:w="3686" w:type="dxa"/>
            <w:shd w:val="clear" w:color="auto" w:fill="auto"/>
          </w:tcPr>
          <w:p w:rsidR="00416C1E" w:rsidRPr="00416C1E" w:rsidRDefault="00416C1E" w:rsidP="00416C1E">
            <w:pPr>
              <w:jc w:val="both"/>
              <w:rPr>
                <w:b/>
                <w:bCs/>
              </w:rPr>
            </w:pPr>
            <w:r w:rsidRPr="00416C1E">
              <w:rPr>
                <w:b/>
                <w:bCs/>
              </w:rPr>
              <w:t>Výrobca: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:rsidR="004A122D" w:rsidRDefault="004A122D" w:rsidP="004A122D">
            <w:pPr>
              <w:jc w:val="both"/>
            </w:pPr>
            <w:r>
              <w:t xml:space="preserve">DOW </w:t>
            </w:r>
            <w:proofErr w:type="spellStart"/>
            <w:r>
              <w:t>AgroSciences</w:t>
            </w:r>
            <w:proofErr w:type="spellEnd"/>
            <w:r>
              <w:t xml:space="preserve">,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Centre</w:t>
            </w:r>
          </w:p>
          <w:p w:rsidR="004A122D" w:rsidRDefault="004A122D" w:rsidP="004A122D">
            <w:pPr>
              <w:jc w:val="both"/>
            </w:pPr>
            <w:r>
              <w:t xml:space="preserve">2nd </w:t>
            </w:r>
            <w:proofErr w:type="spellStart"/>
            <w:r>
              <w:t>Floor</w:t>
            </w:r>
            <w:proofErr w:type="spellEnd"/>
            <w:r>
              <w:t xml:space="preserve">, 3 Milton Park, </w:t>
            </w:r>
            <w:proofErr w:type="spellStart"/>
            <w:r>
              <w:t>Abingdon</w:t>
            </w:r>
            <w:proofErr w:type="spellEnd"/>
            <w:r>
              <w:t xml:space="preserve">, </w:t>
            </w:r>
            <w:proofErr w:type="spellStart"/>
            <w:r>
              <w:t>Oxon</w:t>
            </w:r>
            <w:proofErr w:type="spellEnd"/>
            <w:r>
              <w:t>, OX14 4 RN</w:t>
            </w:r>
          </w:p>
          <w:p w:rsidR="00416C1E" w:rsidRPr="00416C1E" w:rsidRDefault="004A122D" w:rsidP="004A122D">
            <w:pPr>
              <w:jc w:val="both"/>
            </w:pPr>
            <w:r>
              <w:t>Spojené kráľovstvo Veľkej Británie a Severného Írska</w:t>
            </w:r>
          </w:p>
        </w:tc>
      </w:tr>
      <w:tr w:rsidR="00416C1E" w:rsidRPr="002D5BF5" w:rsidTr="00416C1E">
        <w:tc>
          <w:tcPr>
            <w:tcW w:w="3686" w:type="dxa"/>
            <w:shd w:val="clear" w:color="auto" w:fill="auto"/>
          </w:tcPr>
          <w:p w:rsidR="00416C1E" w:rsidRPr="00416C1E" w:rsidRDefault="00416C1E" w:rsidP="00416C1E">
            <w:pPr>
              <w:jc w:val="both"/>
              <w:rPr>
                <w:b/>
                <w:bCs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:rsidR="00416C1E" w:rsidRDefault="00416C1E" w:rsidP="00416C1E">
            <w:pPr>
              <w:jc w:val="both"/>
            </w:pPr>
          </w:p>
        </w:tc>
      </w:tr>
      <w:tr w:rsidR="007C0828" w:rsidRPr="005B27AB" w:rsidTr="00B2425A">
        <w:tc>
          <w:tcPr>
            <w:tcW w:w="3686" w:type="dxa"/>
            <w:shd w:val="clear" w:color="auto" w:fill="auto"/>
          </w:tcPr>
          <w:p w:rsidR="007C0828" w:rsidRPr="007C0828" w:rsidRDefault="007C0828" w:rsidP="00250AB9">
            <w:pPr>
              <w:jc w:val="both"/>
              <w:rPr>
                <w:b/>
                <w:bCs/>
              </w:rPr>
            </w:pPr>
            <w:r w:rsidRPr="007C0828">
              <w:rPr>
                <w:b/>
                <w:bCs/>
              </w:rPr>
              <w:t xml:space="preserve">Držiteľ autorizácie a osoba zodpovedná za konečné balenie a označovanie: 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:rsidR="00C64CAA" w:rsidRDefault="00416C1E" w:rsidP="00416C1E">
            <w:pPr>
              <w:jc w:val="both"/>
            </w:pPr>
            <w:r w:rsidRPr="004E597C">
              <w:t>FLORASERVIS spol. s </w:t>
            </w:r>
            <w:proofErr w:type="spellStart"/>
            <w:r w:rsidRPr="004E597C">
              <w:t>r.o</w:t>
            </w:r>
            <w:proofErr w:type="spellEnd"/>
            <w:r w:rsidRPr="004E597C">
              <w:t>.</w:t>
            </w:r>
          </w:p>
          <w:p w:rsidR="00C64CAA" w:rsidRDefault="0010021B" w:rsidP="00416C1E">
            <w:pPr>
              <w:jc w:val="both"/>
            </w:pPr>
            <w:r w:rsidRPr="00065CD2">
              <w:t>Široká 10487/30</w:t>
            </w:r>
            <w:r w:rsidR="00336DF7">
              <w:t xml:space="preserve">, </w:t>
            </w:r>
            <w:r w:rsidR="00416C1E" w:rsidRPr="004E597C">
              <w:t>831 07 B</w:t>
            </w:r>
            <w:r w:rsidR="00416C1E">
              <w:t>ratislava</w:t>
            </w:r>
          </w:p>
          <w:p w:rsidR="00416C1E" w:rsidRDefault="00416C1E" w:rsidP="00416C1E">
            <w:pPr>
              <w:jc w:val="both"/>
            </w:pPr>
            <w:r>
              <w:t>Slovenská republika</w:t>
            </w:r>
          </w:p>
          <w:p w:rsidR="007C0828" w:rsidRPr="00416C1E" w:rsidRDefault="00416C1E" w:rsidP="00416C1E">
            <w:pPr>
              <w:jc w:val="both"/>
            </w:pPr>
            <w:r w:rsidRPr="004E597C">
              <w:sym w:font="Wingdings" w:char="F028"/>
            </w:r>
            <w:r w:rsidRPr="004E597C">
              <w:t xml:space="preserve"> 02-43712 289</w:t>
            </w:r>
          </w:p>
        </w:tc>
      </w:tr>
      <w:tr w:rsidR="007C0828" w:rsidRPr="005B27AB" w:rsidTr="00B2425A">
        <w:tc>
          <w:tcPr>
            <w:tcW w:w="9640" w:type="dxa"/>
            <w:gridSpan w:val="2"/>
            <w:shd w:val="clear" w:color="auto" w:fill="auto"/>
          </w:tcPr>
          <w:p w:rsidR="007C0828" w:rsidRPr="005B27AB" w:rsidRDefault="007C0828" w:rsidP="00B2425A">
            <w:pPr>
              <w:tabs>
                <w:tab w:val="left" w:pos="3969"/>
              </w:tabs>
              <w:rPr>
                <w:b/>
                <w:bCs/>
              </w:rPr>
            </w:pPr>
          </w:p>
        </w:tc>
      </w:tr>
      <w:tr w:rsidR="007C0828" w:rsidRPr="005B27AB" w:rsidTr="00B2425A">
        <w:tc>
          <w:tcPr>
            <w:tcW w:w="3686" w:type="dxa"/>
            <w:shd w:val="clear" w:color="auto" w:fill="auto"/>
          </w:tcPr>
          <w:p w:rsidR="007C0828" w:rsidRPr="005B27AB" w:rsidRDefault="007C0828" w:rsidP="00B2425A">
            <w:pPr>
              <w:tabs>
                <w:tab w:val="left" w:pos="3969"/>
              </w:tabs>
              <w:rPr>
                <w:b/>
                <w:bCs/>
              </w:rPr>
            </w:pPr>
            <w:r w:rsidRPr="005B27AB">
              <w:rPr>
                <w:b/>
                <w:bCs/>
              </w:rPr>
              <w:t xml:space="preserve">Číslo autorizácie </w:t>
            </w:r>
            <w:r w:rsidRPr="007C0828">
              <w:rPr>
                <w:b/>
                <w:bCs/>
              </w:rPr>
              <w:t>ÚKSÚP</w:t>
            </w:r>
            <w:r w:rsidRPr="007C0828">
              <w:rPr>
                <w:b/>
              </w:rPr>
              <w:t>: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:rsidR="007C0828" w:rsidRPr="00416C1E" w:rsidRDefault="00416C1E" w:rsidP="00B2425A">
            <w:pPr>
              <w:tabs>
                <w:tab w:val="left" w:pos="3969"/>
              </w:tabs>
              <w:rPr>
                <w:b/>
                <w:bCs/>
                <w:color w:val="A6A6A6"/>
                <w:sz w:val="28"/>
                <w:szCs w:val="28"/>
              </w:rPr>
            </w:pPr>
            <w:r w:rsidRPr="00416C1E">
              <w:rPr>
                <w:b/>
                <w:bCs/>
                <w:sz w:val="28"/>
                <w:szCs w:val="28"/>
              </w:rPr>
              <w:t>08-MB-0665</w:t>
            </w:r>
          </w:p>
        </w:tc>
      </w:tr>
      <w:tr w:rsidR="007C0828" w:rsidRPr="005B27AB" w:rsidTr="00B2425A">
        <w:tc>
          <w:tcPr>
            <w:tcW w:w="3686" w:type="dxa"/>
            <w:shd w:val="clear" w:color="auto" w:fill="auto"/>
          </w:tcPr>
          <w:p w:rsidR="007C0828" w:rsidRPr="005B27AB" w:rsidRDefault="007C0828" w:rsidP="00B2425A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:rsidR="007C0828" w:rsidRPr="007C0828" w:rsidRDefault="007C0828" w:rsidP="00B2425A">
            <w:pPr>
              <w:tabs>
                <w:tab w:val="left" w:pos="3969"/>
              </w:tabs>
              <w:rPr>
                <w:b/>
                <w:color w:val="A6A6A6"/>
                <w:sz w:val="28"/>
                <w:szCs w:val="28"/>
              </w:rPr>
            </w:pPr>
          </w:p>
        </w:tc>
      </w:tr>
      <w:tr w:rsidR="007C0828" w:rsidRPr="005B27AB" w:rsidTr="00B2425A">
        <w:tc>
          <w:tcPr>
            <w:tcW w:w="3686" w:type="dxa"/>
            <w:shd w:val="clear" w:color="auto" w:fill="auto"/>
          </w:tcPr>
          <w:p w:rsidR="007C0828" w:rsidRPr="005B27AB" w:rsidRDefault="007C0828" w:rsidP="00B2425A">
            <w:pPr>
              <w:tabs>
                <w:tab w:val="left" w:pos="3969"/>
              </w:tabs>
              <w:rPr>
                <w:b/>
                <w:bCs/>
              </w:rPr>
            </w:pPr>
            <w:r w:rsidRPr="005B27AB">
              <w:rPr>
                <w:b/>
                <w:bCs/>
              </w:rPr>
              <w:t>Dátum výroby</w:t>
            </w:r>
            <w:r w:rsidRPr="005B27AB">
              <w:t>: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:rsidR="007C0828" w:rsidRPr="005B27AB" w:rsidRDefault="007C0828" w:rsidP="00B2425A">
            <w:pPr>
              <w:tabs>
                <w:tab w:val="left" w:pos="3969"/>
              </w:tabs>
              <w:rPr>
                <w:b/>
                <w:bCs/>
              </w:rPr>
            </w:pPr>
            <w:r w:rsidRPr="005B27AB">
              <w:t>uvedené na obale</w:t>
            </w:r>
          </w:p>
        </w:tc>
      </w:tr>
      <w:tr w:rsidR="007C0828" w:rsidRPr="005B27AB" w:rsidTr="00B2425A">
        <w:tc>
          <w:tcPr>
            <w:tcW w:w="3686" w:type="dxa"/>
            <w:shd w:val="clear" w:color="auto" w:fill="auto"/>
          </w:tcPr>
          <w:p w:rsidR="007C0828" w:rsidRPr="005B27AB" w:rsidRDefault="007C0828" w:rsidP="00B2425A">
            <w:pPr>
              <w:tabs>
                <w:tab w:val="left" w:pos="3969"/>
              </w:tabs>
              <w:rPr>
                <w:b/>
                <w:bCs/>
              </w:rPr>
            </w:pPr>
            <w:r w:rsidRPr="005B27AB">
              <w:rPr>
                <w:b/>
                <w:bCs/>
              </w:rPr>
              <w:t>Číslo</w:t>
            </w:r>
            <w:r w:rsidR="00250AB9">
              <w:rPr>
                <w:b/>
                <w:bCs/>
              </w:rPr>
              <w:t xml:space="preserve"> výrobnej</w:t>
            </w:r>
            <w:r w:rsidRPr="005B27AB">
              <w:rPr>
                <w:b/>
                <w:bCs/>
              </w:rPr>
              <w:t xml:space="preserve"> šar</w:t>
            </w:r>
            <w:bookmarkStart w:id="0" w:name="_GoBack"/>
            <w:bookmarkEnd w:id="0"/>
            <w:r w:rsidRPr="005B27AB">
              <w:rPr>
                <w:b/>
                <w:bCs/>
              </w:rPr>
              <w:t>že</w:t>
            </w:r>
            <w:r w:rsidRPr="005B27AB">
              <w:t>: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:rsidR="007C0828" w:rsidRPr="005B27AB" w:rsidRDefault="007C0828" w:rsidP="00B2425A">
            <w:pPr>
              <w:tabs>
                <w:tab w:val="left" w:pos="3969"/>
              </w:tabs>
              <w:rPr>
                <w:b/>
                <w:bCs/>
              </w:rPr>
            </w:pPr>
            <w:r w:rsidRPr="005B27AB">
              <w:t>uvedené na obale</w:t>
            </w:r>
          </w:p>
        </w:tc>
      </w:tr>
      <w:tr w:rsidR="007C0828" w:rsidRPr="005B27AB" w:rsidTr="00B2425A">
        <w:tc>
          <w:tcPr>
            <w:tcW w:w="3686" w:type="dxa"/>
            <w:shd w:val="clear" w:color="auto" w:fill="auto"/>
          </w:tcPr>
          <w:p w:rsidR="007C0828" w:rsidRPr="005B27AB" w:rsidRDefault="007C0828" w:rsidP="00B2425A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:rsidR="007C0828" w:rsidRPr="005B27AB" w:rsidRDefault="007C0828" w:rsidP="00B2425A">
            <w:pPr>
              <w:tabs>
                <w:tab w:val="left" w:pos="3969"/>
              </w:tabs>
            </w:pPr>
          </w:p>
        </w:tc>
      </w:tr>
      <w:tr w:rsidR="007C0828" w:rsidRPr="005B27AB" w:rsidTr="007C0828">
        <w:tc>
          <w:tcPr>
            <w:tcW w:w="3686" w:type="dxa"/>
            <w:shd w:val="clear" w:color="auto" w:fill="auto"/>
          </w:tcPr>
          <w:p w:rsidR="007C0828" w:rsidRPr="007C0828" w:rsidRDefault="007C0828" w:rsidP="00B2425A">
            <w:pPr>
              <w:tabs>
                <w:tab w:val="left" w:pos="3969"/>
              </w:tabs>
              <w:rPr>
                <w:b/>
                <w:bCs/>
                <w:color w:val="A6A6A6"/>
              </w:rPr>
            </w:pPr>
            <w:r w:rsidRPr="005B27AB">
              <w:rPr>
                <w:b/>
                <w:bCs/>
              </w:rPr>
              <w:t>Balenie</w:t>
            </w:r>
            <w:r>
              <w:rPr>
                <w:b/>
                <w:bCs/>
              </w:rPr>
              <w:t>:</w:t>
            </w:r>
          </w:p>
          <w:p w:rsidR="007C0828" w:rsidRPr="007C0828" w:rsidRDefault="007C0828" w:rsidP="00B2425A">
            <w:pPr>
              <w:tabs>
                <w:tab w:val="left" w:pos="3969"/>
              </w:tabs>
              <w:rPr>
                <w:b/>
                <w:bCs/>
                <w:color w:val="A6A6A6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:rsidR="00416C1E" w:rsidRDefault="007C0828" w:rsidP="00416C1E">
            <w:pPr>
              <w:ind w:right="-1"/>
              <w:jc w:val="both"/>
            </w:pPr>
            <w:r w:rsidRPr="005B27AB">
              <w:t xml:space="preserve"> </w:t>
            </w:r>
            <w:r w:rsidR="00416C1E">
              <w:t xml:space="preserve">6 ml, 10 ml, 25 ml a 50 ml PET fľaša </w:t>
            </w:r>
          </w:p>
          <w:p w:rsidR="007C0828" w:rsidRPr="005B27AB" w:rsidRDefault="00416C1E" w:rsidP="00416C1E">
            <w:pPr>
              <w:ind w:right="-1"/>
              <w:jc w:val="both"/>
            </w:pPr>
            <w:r>
              <w:t xml:space="preserve">+ potlačená </w:t>
            </w:r>
            <w:r w:rsidR="004F7A43">
              <w:t xml:space="preserve">papierová </w:t>
            </w:r>
            <w:r>
              <w:t>škatuľka</w:t>
            </w:r>
          </w:p>
        </w:tc>
      </w:tr>
      <w:tr w:rsidR="007C0828" w:rsidRPr="005B27AB" w:rsidTr="00B2425A">
        <w:tc>
          <w:tcPr>
            <w:tcW w:w="3686" w:type="dxa"/>
            <w:shd w:val="clear" w:color="auto" w:fill="auto"/>
          </w:tcPr>
          <w:p w:rsidR="007C0828" w:rsidRPr="00B9017A" w:rsidRDefault="007C0828" w:rsidP="00B2425A">
            <w:pPr>
              <w:tabs>
                <w:tab w:val="left" w:pos="3969"/>
              </w:tabs>
              <w:rPr>
                <w:bCs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:rsidR="007C0828" w:rsidRPr="00B9017A" w:rsidRDefault="007C0828" w:rsidP="00B2425A">
            <w:pPr>
              <w:tabs>
                <w:tab w:val="left" w:pos="3969"/>
              </w:tabs>
            </w:pPr>
          </w:p>
        </w:tc>
      </w:tr>
    </w:tbl>
    <w:p w:rsidR="00F2653F" w:rsidRPr="00A97DE4" w:rsidRDefault="00F2653F" w:rsidP="00F2653F">
      <w:pPr>
        <w:ind w:right="-1"/>
        <w:jc w:val="both"/>
      </w:pPr>
      <w:r w:rsidRPr="00A97DE4">
        <w:t xml:space="preserve">Informačná služba firmy </w:t>
      </w:r>
      <w:proofErr w:type="spellStart"/>
      <w:r w:rsidRPr="00A97DE4">
        <w:t>Dow</w:t>
      </w:r>
      <w:proofErr w:type="spellEnd"/>
      <w:r w:rsidRPr="00A97DE4">
        <w:t xml:space="preserve"> </w:t>
      </w:r>
      <w:proofErr w:type="spellStart"/>
      <w:r w:rsidRPr="00A97DE4">
        <w:t>AgroSciences</w:t>
      </w:r>
      <w:proofErr w:type="spellEnd"/>
      <w:r w:rsidRPr="00A97DE4">
        <w:t xml:space="preserve"> +421</w:t>
      </w:r>
      <w:r w:rsidR="00C64CAA">
        <w:t>(</w:t>
      </w:r>
      <w:r w:rsidRPr="00A97DE4">
        <w:t>0</w:t>
      </w:r>
      <w:r w:rsidR="00C64CAA">
        <w:t>)</w:t>
      </w:r>
      <w:r w:rsidRPr="00A97DE4">
        <w:t>2</w:t>
      </w:r>
      <w:r w:rsidR="00C64CAA">
        <w:t xml:space="preserve"> </w:t>
      </w:r>
      <w:r w:rsidRPr="00A97DE4">
        <w:t>54</w:t>
      </w:r>
      <w:r w:rsidR="00C64CAA">
        <w:t> </w:t>
      </w:r>
      <w:r w:rsidRPr="00A97DE4">
        <w:t>435</w:t>
      </w:r>
      <w:r w:rsidR="00C64CAA">
        <w:t xml:space="preserve"> </w:t>
      </w:r>
      <w:r w:rsidRPr="00A97DE4">
        <w:t>863</w:t>
      </w:r>
    </w:p>
    <w:p w:rsidR="00D772F3" w:rsidRDefault="00D772F3" w:rsidP="00F2653F">
      <w:pPr>
        <w:ind w:right="-1"/>
        <w:jc w:val="both"/>
        <w:rPr>
          <w:b/>
        </w:rPr>
      </w:pPr>
    </w:p>
    <w:p w:rsidR="00CB4074" w:rsidRPr="00A97DE4" w:rsidRDefault="007C0828" w:rsidP="00F2653F">
      <w:pPr>
        <w:ind w:right="-1"/>
        <w:jc w:val="both"/>
        <w:rPr>
          <w:b/>
        </w:rPr>
      </w:pPr>
      <w:r>
        <w:rPr>
          <w:b/>
        </w:rPr>
        <w:t>PÔSOBENIE PRÍPRAVKU</w:t>
      </w:r>
    </w:p>
    <w:p w:rsidR="00CB4074" w:rsidRDefault="004F7A43" w:rsidP="00CB4074">
      <w:pPr>
        <w:pStyle w:val="Zkladntext"/>
        <w:rPr>
          <w:color w:val="auto"/>
        </w:rPr>
      </w:pPr>
      <w:r w:rsidRPr="00A97DE4">
        <w:rPr>
          <w:color w:val="auto"/>
        </w:rPr>
        <w:t>SPINTOR</w:t>
      </w:r>
      <w:r w:rsidR="00F2653F" w:rsidRPr="00A97DE4">
        <w:rPr>
          <w:color w:val="auto"/>
        </w:rPr>
        <w:t xml:space="preserve">* obsahuje účinnú látku </w:t>
      </w:r>
      <w:proofErr w:type="spellStart"/>
      <w:r w:rsidR="00F2653F" w:rsidRPr="00A97DE4">
        <w:rPr>
          <w:color w:val="auto"/>
        </w:rPr>
        <w:t>spinosad</w:t>
      </w:r>
      <w:proofErr w:type="spellEnd"/>
      <w:r w:rsidR="00F2653F" w:rsidRPr="00A97DE4">
        <w:rPr>
          <w:color w:val="auto"/>
        </w:rPr>
        <w:t xml:space="preserve">, ktorá je prírodným produktom získaným fermentačnou činnosťou baktérie </w:t>
      </w:r>
      <w:proofErr w:type="spellStart"/>
      <w:r w:rsidR="00F2653F" w:rsidRPr="00A97DE4">
        <w:rPr>
          <w:i/>
          <w:color w:val="auto"/>
        </w:rPr>
        <w:t>Saccharopolyspora</w:t>
      </w:r>
      <w:proofErr w:type="spellEnd"/>
      <w:r w:rsidR="00F2653F" w:rsidRPr="00A97DE4">
        <w:rPr>
          <w:i/>
          <w:color w:val="auto"/>
        </w:rPr>
        <w:t xml:space="preserve"> </w:t>
      </w:r>
      <w:proofErr w:type="spellStart"/>
      <w:r w:rsidR="00F2653F" w:rsidRPr="00A97DE4">
        <w:rPr>
          <w:i/>
          <w:color w:val="auto"/>
        </w:rPr>
        <w:t>spinosa</w:t>
      </w:r>
      <w:proofErr w:type="spellEnd"/>
      <w:r w:rsidR="00F2653F" w:rsidRPr="00A97DE4">
        <w:rPr>
          <w:color w:val="auto"/>
        </w:rPr>
        <w:t xml:space="preserve">, ktorá sa bežne vyskytuje v pôde. </w:t>
      </w:r>
      <w:proofErr w:type="spellStart"/>
      <w:r w:rsidR="00F2653F" w:rsidRPr="00A97DE4">
        <w:rPr>
          <w:color w:val="auto"/>
        </w:rPr>
        <w:t>Spinosad</w:t>
      </w:r>
      <w:proofErr w:type="spellEnd"/>
      <w:r w:rsidR="00F2653F" w:rsidRPr="00A97DE4">
        <w:rPr>
          <w:color w:val="auto"/>
        </w:rPr>
        <w:t xml:space="preserve"> ako zmes dvoch komponentov (</w:t>
      </w:r>
      <w:proofErr w:type="spellStart"/>
      <w:r w:rsidR="00F2653F" w:rsidRPr="00A97DE4">
        <w:rPr>
          <w:i/>
          <w:color w:val="auto"/>
        </w:rPr>
        <w:t>spinosynu</w:t>
      </w:r>
      <w:proofErr w:type="spellEnd"/>
      <w:r w:rsidR="00F2653F" w:rsidRPr="00A97DE4">
        <w:rPr>
          <w:i/>
          <w:color w:val="auto"/>
        </w:rPr>
        <w:t xml:space="preserve"> A</w:t>
      </w:r>
      <w:r w:rsidR="00F2653F" w:rsidRPr="00A97DE4">
        <w:rPr>
          <w:color w:val="auto"/>
        </w:rPr>
        <w:t xml:space="preserve"> </w:t>
      </w:r>
      <w:proofErr w:type="spellStart"/>
      <w:r w:rsidR="00F2653F" w:rsidRPr="00A97DE4">
        <w:rPr>
          <w:color w:val="auto"/>
        </w:rPr>
        <w:t>a</w:t>
      </w:r>
      <w:proofErr w:type="spellEnd"/>
      <w:r w:rsidR="00F2653F" w:rsidRPr="00A97DE4">
        <w:rPr>
          <w:color w:val="auto"/>
        </w:rPr>
        <w:t xml:space="preserve"> </w:t>
      </w:r>
      <w:proofErr w:type="spellStart"/>
      <w:r w:rsidR="00F2653F" w:rsidRPr="00A97DE4">
        <w:rPr>
          <w:i/>
          <w:color w:val="auto"/>
        </w:rPr>
        <w:t>spinosynu</w:t>
      </w:r>
      <w:proofErr w:type="spellEnd"/>
      <w:r w:rsidR="00F2653F" w:rsidRPr="00A97DE4">
        <w:rPr>
          <w:i/>
          <w:color w:val="auto"/>
        </w:rPr>
        <w:t xml:space="preserve"> D</w:t>
      </w:r>
      <w:r w:rsidR="00F2653F" w:rsidRPr="00A97DE4">
        <w:rPr>
          <w:color w:val="auto"/>
        </w:rPr>
        <w:t xml:space="preserve">) sa vyznačuje nízkou toxicitou voči človeku a teplokrvným živočíchom, rýchlym odbúravaním v životnom prostredí a nízkym rizikom akumulácie v telách vodných živočíchov. </w:t>
      </w:r>
      <w:r w:rsidRPr="00A97DE4">
        <w:rPr>
          <w:color w:val="auto"/>
        </w:rPr>
        <w:t>SPINTOR</w:t>
      </w:r>
      <w:r w:rsidR="00F2653F" w:rsidRPr="00A97DE4">
        <w:rPr>
          <w:color w:val="auto"/>
        </w:rPr>
        <w:t xml:space="preserve"> pôsobí ako kontaktný a </w:t>
      </w:r>
      <w:proofErr w:type="spellStart"/>
      <w:r w:rsidR="00F2653F" w:rsidRPr="00A97DE4">
        <w:rPr>
          <w:color w:val="auto"/>
        </w:rPr>
        <w:t>požerový</w:t>
      </w:r>
      <w:proofErr w:type="spellEnd"/>
      <w:r w:rsidR="00F2653F" w:rsidRPr="00A97DE4">
        <w:rPr>
          <w:color w:val="auto"/>
        </w:rPr>
        <w:t xml:space="preserve"> insekticíd. </w:t>
      </w:r>
      <w:r w:rsidR="00CB4074" w:rsidRPr="00A97DE4">
        <w:rPr>
          <w:color w:val="auto"/>
        </w:rPr>
        <w:t xml:space="preserve">Účinná látka </w:t>
      </w:r>
      <w:proofErr w:type="spellStart"/>
      <w:r w:rsidR="00CB4074" w:rsidRPr="00A97DE4">
        <w:rPr>
          <w:color w:val="auto"/>
        </w:rPr>
        <w:t>depolarizuje</w:t>
      </w:r>
      <w:proofErr w:type="spellEnd"/>
      <w:r w:rsidR="00CB4074" w:rsidRPr="00A97DE4">
        <w:rPr>
          <w:color w:val="auto"/>
        </w:rPr>
        <w:t xml:space="preserve"> neuróny hmyzu </w:t>
      </w:r>
      <w:r w:rsidRPr="00A97DE4">
        <w:rPr>
          <w:color w:val="auto"/>
        </w:rPr>
        <w:t>a</w:t>
      </w:r>
      <w:r>
        <w:rPr>
          <w:color w:val="auto"/>
        </w:rPr>
        <w:t>k</w:t>
      </w:r>
      <w:r w:rsidRPr="00A97DE4">
        <w:rPr>
          <w:color w:val="auto"/>
        </w:rPr>
        <w:t xml:space="preserve">tiváciou </w:t>
      </w:r>
      <w:r w:rsidR="00CB4074" w:rsidRPr="00A97DE4">
        <w:rPr>
          <w:color w:val="auto"/>
        </w:rPr>
        <w:t xml:space="preserve">receptoru </w:t>
      </w:r>
      <w:proofErr w:type="spellStart"/>
      <w:r w:rsidR="00CB4074" w:rsidRPr="00A97DE4">
        <w:rPr>
          <w:color w:val="auto"/>
        </w:rPr>
        <w:t>acetylcholínu</w:t>
      </w:r>
      <w:proofErr w:type="spellEnd"/>
      <w:r w:rsidR="00CB4074" w:rsidRPr="00A97DE4">
        <w:rPr>
          <w:color w:val="auto"/>
        </w:rPr>
        <w:t xml:space="preserve">, ktorá sa </w:t>
      </w:r>
      <w:r w:rsidR="00CB4074" w:rsidRPr="00A97DE4">
        <w:rPr>
          <w:color w:val="auto"/>
        </w:rPr>
        <w:lastRenderedPageBreak/>
        <w:t>prejavuje nekontro</w:t>
      </w:r>
      <w:r>
        <w:rPr>
          <w:color w:val="auto"/>
        </w:rPr>
        <w:t>lo</w:t>
      </w:r>
      <w:r w:rsidR="00CB4074" w:rsidRPr="00A97DE4">
        <w:rPr>
          <w:color w:val="auto"/>
        </w:rPr>
        <w:t>vateľnými svalovými kontrakciami hmyzu, následnou paralýzou a dochádza k úhynu škodcu.</w:t>
      </w:r>
    </w:p>
    <w:p w:rsidR="00F2653F" w:rsidRPr="00A97DE4" w:rsidRDefault="00F2653F" w:rsidP="00F2653F">
      <w:pPr>
        <w:pStyle w:val="Zkladntext"/>
        <w:rPr>
          <w:color w:val="auto"/>
        </w:rPr>
      </w:pPr>
      <w:r w:rsidRPr="00A97DE4">
        <w:rPr>
          <w:color w:val="auto"/>
        </w:rPr>
        <w:t>Príjem účinnej látky nastáva priamym kontaktom s látkou alebo príjmom potravy. Účinok nastáva už po niekoľkých hodinách. Pôsobenie účinnej látky spočíva v ovplyvňovaní aktivity neurónov</w:t>
      </w:r>
      <w:r w:rsidR="002C6064">
        <w:rPr>
          <w:color w:val="auto"/>
        </w:rPr>
        <w:t>.</w:t>
      </w:r>
      <w:r w:rsidRPr="00A97DE4">
        <w:rPr>
          <w:color w:val="auto"/>
        </w:rPr>
        <w:t xml:space="preserve"> Doposiaľ nebola preukázaná rezistencia škodcov voči účinnej látke. Zaschnutý postrek na povrchu ošetrených rastlín nie je nebezpečný pre včely alebo iný užitočný hmyz. </w:t>
      </w:r>
      <w:r w:rsidR="004F7A43" w:rsidRPr="00A97DE4">
        <w:rPr>
          <w:color w:val="auto"/>
        </w:rPr>
        <w:t>SPINTOR</w:t>
      </w:r>
      <w:r w:rsidRPr="00A97DE4">
        <w:rPr>
          <w:color w:val="auto"/>
        </w:rPr>
        <w:t xml:space="preserve"> sa vyznačuje vysokou </w:t>
      </w:r>
      <w:proofErr w:type="spellStart"/>
      <w:r w:rsidRPr="00A97DE4">
        <w:rPr>
          <w:color w:val="auto"/>
        </w:rPr>
        <w:t>selektivitou</w:t>
      </w:r>
      <w:proofErr w:type="spellEnd"/>
      <w:r w:rsidRPr="00A97DE4">
        <w:rPr>
          <w:color w:val="auto"/>
        </w:rPr>
        <w:t xml:space="preserve"> voči dravému roztočovi </w:t>
      </w:r>
      <w:proofErr w:type="spellStart"/>
      <w:r w:rsidRPr="00A97DE4">
        <w:rPr>
          <w:i/>
          <w:color w:val="auto"/>
          <w:lang w:val="cs-CZ"/>
        </w:rPr>
        <w:t>Typhlodromus</w:t>
      </w:r>
      <w:proofErr w:type="spellEnd"/>
      <w:r w:rsidRPr="00A97DE4">
        <w:rPr>
          <w:i/>
          <w:color w:val="auto"/>
          <w:lang w:val="cs-CZ"/>
        </w:rPr>
        <w:t xml:space="preserve"> </w:t>
      </w:r>
      <w:proofErr w:type="spellStart"/>
      <w:r w:rsidRPr="00A97DE4">
        <w:rPr>
          <w:i/>
          <w:color w:val="auto"/>
          <w:lang w:val="cs-CZ"/>
        </w:rPr>
        <w:t>pyri</w:t>
      </w:r>
      <w:proofErr w:type="spellEnd"/>
      <w:r w:rsidRPr="00A97DE4">
        <w:rPr>
          <w:i/>
          <w:color w:val="auto"/>
        </w:rPr>
        <w:t>.</w:t>
      </w:r>
      <w:r w:rsidRPr="00A97DE4">
        <w:rPr>
          <w:color w:val="auto"/>
        </w:rPr>
        <w:t xml:space="preserve"> </w:t>
      </w:r>
    </w:p>
    <w:p w:rsidR="00F2653F" w:rsidRPr="00A97DE4" w:rsidRDefault="00F2653F" w:rsidP="00F2653F">
      <w:pPr>
        <w:pStyle w:val="Zkladntext"/>
        <w:rPr>
          <w:b/>
          <w:color w:val="auto"/>
        </w:rPr>
      </w:pPr>
    </w:p>
    <w:p w:rsidR="00F2653F" w:rsidRDefault="00A85C82" w:rsidP="002C746E">
      <w:pPr>
        <w:spacing w:after="120"/>
        <w:jc w:val="both"/>
        <w:rPr>
          <w:b/>
        </w:rPr>
      </w:pPr>
      <w:r w:rsidRPr="00D802B4">
        <w:rPr>
          <w:b/>
        </w:rPr>
        <w:t xml:space="preserve">NÁVOD NA POUŽITIE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4"/>
        <w:gridCol w:w="2336"/>
        <w:gridCol w:w="1800"/>
        <w:gridCol w:w="1817"/>
        <w:gridCol w:w="1959"/>
      </w:tblGrid>
      <w:tr w:rsidR="00463B29" w:rsidRPr="008204E2" w:rsidTr="00A5221F">
        <w:trPr>
          <w:cantSplit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63B29" w:rsidRPr="008204E2" w:rsidRDefault="00463B29" w:rsidP="002D5830">
            <w:pPr>
              <w:rPr>
                <w:b/>
              </w:rPr>
            </w:pPr>
            <w:r w:rsidRPr="008204E2">
              <w:rPr>
                <w:b/>
              </w:rPr>
              <w:t>Plodina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63B29" w:rsidRPr="008204E2" w:rsidRDefault="00463B29" w:rsidP="002D5830">
            <w:pPr>
              <w:rPr>
                <w:b/>
              </w:rPr>
            </w:pPr>
            <w:r w:rsidRPr="008204E2">
              <w:rPr>
                <w:b/>
              </w:rPr>
              <w:t>Škodlivý činiteľ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63B29" w:rsidRPr="008204E2" w:rsidRDefault="00463B29" w:rsidP="00AC210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bCs/>
                <w:color w:val="000000"/>
              </w:rPr>
              <w:t xml:space="preserve">Dávka </w:t>
            </w:r>
            <w:r w:rsidRPr="00532670">
              <w:rPr>
                <w:b/>
                <w:bCs/>
                <w:color w:val="000000"/>
              </w:rPr>
              <w:t>100 m</w:t>
            </w:r>
            <w:r w:rsidRPr="00532670">
              <w:rPr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63B29" w:rsidRPr="008204E2" w:rsidRDefault="00A5221F" w:rsidP="002D5830">
            <w:pPr>
              <w:jc w:val="center"/>
              <w:rPr>
                <w:b/>
              </w:rPr>
            </w:pPr>
            <w:r>
              <w:rPr>
                <w:b/>
              </w:rPr>
              <w:t xml:space="preserve">Ochranná </w:t>
            </w:r>
            <w:r w:rsidR="00463B29" w:rsidRPr="008204E2">
              <w:rPr>
                <w:b/>
              </w:rPr>
              <w:t>doba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63B29" w:rsidRPr="008204E2" w:rsidRDefault="00463B29" w:rsidP="00AC210C">
            <w:pPr>
              <w:jc w:val="center"/>
              <w:rPr>
                <w:b/>
              </w:rPr>
            </w:pPr>
            <w:r w:rsidRPr="008204E2">
              <w:rPr>
                <w:b/>
              </w:rPr>
              <w:t>Poznámka</w:t>
            </w:r>
          </w:p>
        </w:tc>
      </w:tr>
      <w:tr w:rsidR="00463B29" w:rsidRPr="008204E2" w:rsidTr="00AC210C">
        <w:trPr>
          <w:cantSplit/>
        </w:trPr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B29" w:rsidRPr="008204E2" w:rsidRDefault="00463B29" w:rsidP="002D5830">
            <w:pPr>
              <w:pStyle w:val="Hlavika"/>
              <w:rPr>
                <w:b/>
              </w:rPr>
            </w:pPr>
            <w:r w:rsidRPr="008204E2">
              <w:rPr>
                <w:b/>
              </w:rPr>
              <w:t>kapusta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29" w:rsidRPr="008204E2" w:rsidRDefault="00463B29" w:rsidP="002D5830">
            <w:r w:rsidRPr="008204E2">
              <w:t>mlynárik kapustový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B29" w:rsidRPr="008204E2" w:rsidRDefault="00463B29" w:rsidP="00AC210C">
            <w:pPr>
              <w:jc w:val="center"/>
            </w:pPr>
            <w:r>
              <w:t>4 ml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B29" w:rsidRPr="008204E2" w:rsidRDefault="00463B29" w:rsidP="00AC210C">
            <w:pPr>
              <w:ind w:firstLine="8"/>
              <w:jc w:val="center"/>
              <w:rPr>
                <w:highlight w:val="yellow"/>
              </w:rPr>
            </w:pPr>
            <w:r w:rsidRPr="008204E2">
              <w:t>3</w:t>
            </w:r>
            <w:r w:rsidR="00A5221F">
              <w:t xml:space="preserve"> dni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29" w:rsidRPr="008204E2" w:rsidRDefault="00463B29" w:rsidP="00AC210C">
            <w:pPr>
              <w:pStyle w:val="Hlavika"/>
              <w:ind w:left="810"/>
              <w:jc w:val="center"/>
            </w:pPr>
          </w:p>
        </w:tc>
      </w:tr>
      <w:tr w:rsidR="00463B29" w:rsidRPr="008204E2" w:rsidTr="00AC210C">
        <w:trPr>
          <w:cantSplit/>
        </w:trPr>
        <w:tc>
          <w:tcPr>
            <w:tcW w:w="14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B29" w:rsidRPr="008204E2" w:rsidRDefault="00463B29" w:rsidP="002D5830">
            <w:pPr>
              <w:rPr>
                <w:b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29" w:rsidRPr="008204E2" w:rsidRDefault="00463B29" w:rsidP="002D5830">
            <w:r w:rsidRPr="008204E2">
              <w:t>mora kapustová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B29" w:rsidRPr="008204E2" w:rsidRDefault="00463B29" w:rsidP="00AC210C">
            <w:pPr>
              <w:jc w:val="center"/>
            </w:pPr>
            <w:r>
              <w:t>4</w:t>
            </w:r>
            <w:r w:rsidR="00A5221F">
              <w:t xml:space="preserve"> </w:t>
            </w:r>
            <w:r>
              <w:t>-</w:t>
            </w:r>
            <w:r w:rsidR="00A5221F">
              <w:t xml:space="preserve"> </w:t>
            </w:r>
            <w:r>
              <w:t>5 ml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B29" w:rsidRPr="008204E2" w:rsidRDefault="00463B29" w:rsidP="00AC210C">
            <w:pPr>
              <w:ind w:firstLine="8"/>
              <w:jc w:val="center"/>
            </w:pPr>
            <w:r w:rsidRPr="008204E2">
              <w:t>3</w:t>
            </w:r>
            <w:r w:rsidR="00A5221F">
              <w:t xml:space="preserve"> dni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B29" w:rsidRPr="008204E2" w:rsidRDefault="00463B29" w:rsidP="00AC210C">
            <w:pPr>
              <w:pStyle w:val="Hlavika"/>
              <w:ind w:left="810"/>
              <w:jc w:val="center"/>
            </w:pPr>
          </w:p>
        </w:tc>
      </w:tr>
      <w:tr w:rsidR="00A5221F" w:rsidRPr="008204E2" w:rsidTr="00336DF7">
        <w:trPr>
          <w:cantSplit/>
          <w:trHeight w:val="1119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21F" w:rsidRPr="008204E2" w:rsidRDefault="00A5221F" w:rsidP="002D5830">
            <w:pPr>
              <w:rPr>
                <w:b/>
              </w:rPr>
            </w:pPr>
            <w:r w:rsidRPr="008204E2">
              <w:rPr>
                <w:b/>
              </w:rPr>
              <w:t>rajčiak, baklažán,</w:t>
            </w:r>
          </w:p>
          <w:p w:rsidR="00A5221F" w:rsidRPr="008204E2" w:rsidRDefault="00A5221F" w:rsidP="002D5830">
            <w:pPr>
              <w:rPr>
                <w:b/>
              </w:rPr>
            </w:pPr>
            <w:r w:rsidRPr="008204E2">
              <w:rPr>
                <w:b/>
              </w:rPr>
              <w:t>paprika,</w:t>
            </w:r>
          </w:p>
          <w:p w:rsidR="00A5221F" w:rsidRPr="008204E2" w:rsidRDefault="00A5221F" w:rsidP="002D5830">
            <w:pPr>
              <w:rPr>
                <w:b/>
              </w:rPr>
            </w:pPr>
            <w:r w:rsidRPr="008204E2">
              <w:rPr>
                <w:b/>
              </w:rPr>
              <w:t xml:space="preserve">uhorka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21F" w:rsidRPr="008204E2" w:rsidRDefault="00A5221F" w:rsidP="002D5830">
            <w:proofErr w:type="spellStart"/>
            <w:r w:rsidRPr="008204E2">
              <w:t>strapky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21F" w:rsidRPr="008607CE" w:rsidRDefault="00A5221F" w:rsidP="00AC210C">
            <w:pPr>
              <w:jc w:val="center"/>
            </w:pPr>
            <w:r>
              <w:t>4 ml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21F" w:rsidRPr="008204E2" w:rsidRDefault="00A5221F" w:rsidP="00AC210C">
            <w:pPr>
              <w:ind w:firstLine="8"/>
              <w:jc w:val="center"/>
            </w:pPr>
            <w:r w:rsidRPr="008204E2">
              <w:t>3</w:t>
            </w:r>
            <w:r>
              <w:t xml:space="preserve"> dni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21F" w:rsidRPr="008204E2" w:rsidRDefault="00A5221F" w:rsidP="00336DF7">
            <w:pPr>
              <w:pStyle w:val="Hlavika"/>
            </w:pPr>
            <w:r w:rsidRPr="008204E2">
              <w:t>aplikácia v</w:t>
            </w:r>
            <w:r>
              <w:t> </w:t>
            </w:r>
            <w:r w:rsidRPr="008204E2">
              <w:t>skleníku</w:t>
            </w:r>
          </w:p>
          <w:p w:rsidR="00A5221F" w:rsidRPr="008204E2" w:rsidRDefault="00A5221F" w:rsidP="00336DF7">
            <w:pPr>
              <w:pStyle w:val="Hlavika"/>
              <w:ind w:left="365"/>
            </w:pPr>
          </w:p>
        </w:tc>
      </w:tr>
      <w:tr w:rsidR="00A5221F" w:rsidRPr="008204E2" w:rsidTr="00AC210C">
        <w:trPr>
          <w:cantSplit/>
          <w:trHeight w:val="488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21F" w:rsidRPr="008204E2" w:rsidRDefault="00A5221F" w:rsidP="002D5830">
            <w:pPr>
              <w:rPr>
                <w:b/>
              </w:rPr>
            </w:pPr>
            <w:r>
              <w:rPr>
                <w:b/>
              </w:rPr>
              <w:t>zemiak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21F" w:rsidRPr="008204E2" w:rsidRDefault="00A5221F" w:rsidP="002D5830">
            <w:r>
              <w:t>pásavka zemiaková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21F" w:rsidRDefault="00A5221F" w:rsidP="00AC210C">
            <w:pPr>
              <w:jc w:val="center"/>
            </w:pPr>
            <w:r>
              <w:t>1,5 – 2 ml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21F" w:rsidRPr="008204E2" w:rsidRDefault="00A5221F" w:rsidP="00AC210C">
            <w:pPr>
              <w:ind w:firstLine="8"/>
              <w:jc w:val="center"/>
            </w:pPr>
            <w:r>
              <w:t>7 dní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21F" w:rsidRPr="008204E2" w:rsidRDefault="00A5221F" w:rsidP="00AC210C">
            <w:pPr>
              <w:pStyle w:val="Hlavika"/>
              <w:jc w:val="center"/>
            </w:pPr>
          </w:p>
        </w:tc>
      </w:tr>
      <w:tr w:rsidR="00A5221F" w:rsidRPr="008204E2" w:rsidTr="004A122D">
        <w:trPr>
          <w:cantSplit/>
          <w:trHeight w:val="127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21F" w:rsidRPr="008204E2" w:rsidRDefault="00A5221F" w:rsidP="002D5830">
            <w:pPr>
              <w:rPr>
                <w:b/>
              </w:rPr>
            </w:pPr>
            <w:r>
              <w:rPr>
                <w:b/>
              </w:rPr>
              <w:t>vinič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21F" w:rsidRPr="008204E2" w:rsidRDefault="00A5221F" w:rsidP="002D5830">
            <w:r>
              <w:t>obaľovače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21F" w:rsidRDefault="00A5221F" w:rsidP="00AC210C">
            <w:pPr>
              <w:jc w:val="center"/>
            </w:pPr>
            <w:r>
              <w:t>3 – 4 ml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21F" w:rsidRPr="008204E2" w:rsidRDefault="00A5221F" w:rsidP="00AC210C">
            <w:pPr>
              <w:ind w:firstLine="8"/>
              <w:jc w:val="center"/>
            </w:pPr>
            <w:r>
              <w:t>14 dní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21F" w:rsidRPr="008204E2" w:rsidRDefault="00A5221F" w:rsidP="00AC210C">
            <w:pPr>
              <w:pStyle w:val="Hlavika"/>
              <w:jc w:val="center"/>
            </w:pPr>
          </w:p>
        </w:tc>
      </w:tr>
      <w:tr w:rsidR="00A5221F" w:rsidRPr="008204E2" w:rsidTr="00AC210C">
        <w:trPr>
          <w:cantSplit/>
          <w:trHeight w:val="127"/>
        </w:trPr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21F" w:rsidRDefault="00A5221F" w:rsidP="002D5830">
            <w:pPr>
              <w:rPr>
                <w:b/>
              </w:rPr>
            </w:pPr>
            <w:r>
              <w:rPr>
                <w:b/>
              </w:rPr>
              <w:t>jabloň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21F" w:rsidRDefault="004327E4" w:rsidP="002D5830">
            <w:r>
              <w:t>obaľovač jablčný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21F" w:rsidRDefault="004327E4" w:rsidP="00AC210C">
            <w:pPr>
              <w:jc w:val="center"/>
            </w:pPr>
            <w:r>
              <w:t>6 ml</w:t>
            </w:r>
          </w:p>
        </w:tc>
        <w:tc>
          <w:tcPr>
            <w:tcW w:w="1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221F" w:rsidRDefault="004327E4" w:rsidP="00AC210C">
            <w:pPr>
              <w:ind w:firstLine="8"/>
              <w:jc w:val="center"/>
            </w:pPr>
            <w:r>
              <w:t>7 dní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21F" w:rsidRPr="008204E2" w:rsidRDefault="00A5221F" w:rsidP="00AC210C">
            <w:pPr>
              <w:pStyle w:val="Hlavika"/>
              <w:jc w:val="center"/>
            </w:pPr>
          </w:p>
        </w:tc>
      </w:tr>
      <w:tr w:rsidR="00A5221F" w:rsidRPr="008204E2" w:rsidTr="004A122D">
        <w:trPr>
          <w:cantSplit/>
          <w:trHeight w:val="127"/>
        </w:trPr>
        <w:tc>
          <w:tcPr>
            <w:tcW w:w="14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21F" w:rsidRDefault="00A5221F" w:rsidP="002D5830">
            <w:pPr>
              <w:rPr>
                <w:b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21F" w:rsidRDefault="004327E4" w:rsidP="002D5830">
            <w:proofErr w:type="spellStart"/>
            <w:r>
              <w:t>podkopáčiky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21F" w:rsidRDefault="004327E4" w:rsidP="00AC210C">
            <w:pPr>
              <w:jc w:val="center"/>
            </w:pPr>
            <w:r>
              <w:t>6 – 8 ml</w:t>
            </w:r>
          </w:p>
        </w:tc>
        <w:tc>
          <w:tcPr>
            <w:tcW w:w="18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21F" w:rsidRDefault="00A5221F" w:rsidP="00A5221F">
            <w:pPr>
              <w:ind w:left="365"/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221F" w:rsidRPr="008204E2" w:rsidRDefault="00A5221F" w:rsidP="00AC210C">
            <w:pPr>
              <w:pStyle w:val="Hlavika"/>
              <w:jc w:val="center"/>
            </w:pPr>
          </w:p>
        </w:tc>
      </w:tr>
    </w:tbl>
    <w:p w:rsidR="00463B29" w:rsidRDefault="00463B29" w:rsidP="00416C1E">
      <w:pPr>
        <w:ind w:right="-1"/>
        <w:jc w:val="both"/>
        <w:rPr>
          <w:b/>
        </w:rPr>
      </w:pPr>
    </w:p>
    <w:p w:rsidR="00416C1E" w:rsidRPr="008204E2" w:rsidRDefault="00416C1E" w:rsidP="00416C1E">
      <w:pPr>
        <w:ind w:right="-1"/>
        <w:jc w:val="both"/>
        <w:rPr>
          <w:b/>
        </w:rPr>
      </w:pPr>
      <w:r>
        <w:rPr>
          <w:b/>
        </w:rPr>
        <w:t>POKYNY PRE APLIKÁCIU</w:t>
      </w:r>
    </w:p>
    <w:p w:rsidR="00416C1E" w:rsidRPr="00416C1E" w:rsidRDefault="00416C1E" w:rsidP="00886050">
      <w:pPr>
        <w:ind w:right="48"/>
        <w:jc w:val="both"/>
        <w:rPr>
          <w:b/>
        </w:rPr>
      </w:pPr>
      <w:r w:rsidRPr="00416C1E">
        <w:rPr>
          <w:b/>
        </w:rPr>
        <w:t xml:space="preserve">Ošetrovaná plocha nesmie byť v letovej dráhe včiel! Pri aplikácii dbajte, aby v poraste neboli kvitnúce buriny! Je zakázané aplikovať </w:t>
      </w:r>
      <w:r w:rsidR="001C1E00" w:rsidRPr="00416C1E">
        <w:rPr>
          <w:b/>
        </w:rPr>
        <w:t>SPINTOR</w:t>
      </w:r>
      <w:r w:rsidRPr="00416C1E">
        <w:rPr>
          <w:b/>
        </w:rPr>
        <w:t xml:space="preserve"> v čase letu včiel! Pred aplikáciou sa uistite, že sú vhodné poveternostné podmienky na aplikáciu a technické podmienky aplikácie neohrozia včelstvá. </w:t>
      </w:r>
    </w:p>
    <w:p w:rsidR="00416C1E" w:rsidRDefault="00416C1E" w:rsidP="00416C1E">
      <w:pPr>
        <w:jc w:val="both"/>
      </w:pPr>
    </w:p>
    <w:p w:rsidR="004327E4" w:rsidRDefault="004327E4" w:rsidP="00416C1E">
      <w:pPr>
        <w:jc w:val="both"/>
      </w:pPr>
      <w:r>
        <w:t>Počet aplikácií: max. 2x za vegetačnú sezónu</w:t>
      </w:r>
    </w:p>
    <w:p w:rsidR="004327E4" w:rsidRPr="008204E2" w:rsidRDefault="004327E4" w:rsidP="00416C1E">
      <w:pPr>
        <w:jc w:val="both"/>
      </w:pPr>
    </w:p>
    <w:p w:rsidR="00416C1E" w:rsidRPr="008204E2" w:rsidRDefault="004327E4" w:rsidP="00416C1E">
      <w:pPr>
        <w:jc w:val="both"/>
      </w:pPr>
      <w:r w:rsidRPr="004327E4">
        <w:rPr>
          <w:b/>
        </w:rPr>
        <w:t>Kapusta</w:t>
      </w:r>
      <w:r w:rsidR="00416C1E" w:rsidRPr="008204E2">
        <w:t xml:space="preserve"> </w:t>
      </w:r>
      <w:r>
        <w:t xml:space="preserve">- </w:t>
      </w:r>
      <w:r w:rsidR="00416C1E" w:rsidRPr="008204E2">
        <w:t>aplikuj</w:t>
      </w:r>
      <w:r>
        <w:t>t</w:t>
      </w:r>
      <w:r w:rsidR="00416C1E" w:rsidRPr="008204E2">
        <w:t>e proti húseniciam motýľov vždy krátko po ich vyliahnutí vo fáze BBCH 10-49. Vyššia dávka sa odporúča pri silnejšom výskyte škodcu</w:t>
      </w:r>
      <w:r w:rsidR="002C6064">
        <w:t>.</w:t>
      </w:r>
      <w:r w:rsidR="00416C1E" w:rsidRPr="008204E2">
        <w:t xml:space="preserve"> Interval medzi ošetreniami je spravidla 10 dní, prípadne podľa liahnutia ďalších lariev.</w:t>
      </w:r>
      <w:r w:rsidR="00A65A06" w:rsidRPr="00A65A06">
        <w:t xml:space="preserve"> </w:t>
      </w:r>
    </w:p>
    <w:p w:rsidR="00416C1E" w:rsidRDefault="00416C1E" w:rsidP="00416C1E">
      <w:pPr>
        <w:jc w:val="both"/>
        <w:rPr>
          <w:b/>
        </w:rPr>
      </w:pPr>
      <w:r w:rsidRPr="008204E2">
        <w:rPr>
          <w:b/>
        </w:rPr>
        <w:t xml:space="preserve">Paprika, rajčiak, baklažán, uhorky </w:t>
      </w:r>
      <w:r w:rsidRPr="004327E4">
        <w:rPr>
          <w:b/>
        </w:rPr>
        <w:t xml:space="preserve">v skleníku </w:t>
      </w:r>
      <w:r w:rsidR="004327E4" w:rsidRPr="004327E4">
        <w:t>-</w:t>
      </w:r>
      <w:r w:rsidR="00336DF7">
        <w:t xml:space="preserve"> </w:t>
      </w:r>
      <w:r w:rsidRPr="004327E4">
        <w:t xml:space="preserve">ošetrujte na začiatku zistenia škodcu. </w:t>
      </w:r>
      <w:r w:rsidRPr="008204E2">
        <w:rPr>
          <w:u w:val="single"/>
        </w:rPr>
        <w:t>Večer pred plánovaným postrekom zavrite úliky s čmeliakmi a vyneste ich von zo skleníka. Najskôr po 48 h od aplikácie prípravku je možné úliky opäť umiestniť v skleníku.</w:t>
      </w:r>
      <w:r w:rsidRPr="008204E2">
        <w:t xml:space="preserve">  Aplikačnú dávku </w:t>
      </w:r>
      <w:r>
        <w:t>4 ml</w:t>
      </w:r>
      <w:r w:rsidRPr="008204E2">
        <w:t xml:space="preserve"> </w:t>
      </w:r>
      <w:r w:rsidR="004327E4" w:rsidRPr="008204E2">
        <w:t>použi</w:t>
      </w:r>
      <w:r w:rsidR="004327E4">
        <w:t>te</w:t>
      </w:r>
      <w:r w:rsidR="004327E4" w:rsidRPr="008204E2">
        <w:t xml:space="preserve"> </w:t>
      </w:r>
      <w:r w:rsidRPr="008204E2">
        <w:t>v minimálne 5 l vody.</w:t>
      </w:r>
      <w:r w:rsidRPr="008204E2">
        <w:rPr>
          <w:b/>
        </w:rPr>
        <w:t xml:space="preserve"> </w:t>
      </w:r>
    </w:p>
    <w:p w:rsidR="004327E4" w:rsidRPr="004327E4" w:rsidRDefault="004327E4" w:rsidP="00416C1E">
      <w:pPr>
        <w:jc w:val="both"/>
      </w:pPr>
      <w:r>
        <w:rPr>
          <w:b/>
        </w:rPr>
        <w:t xml:space="preserve">Zemiak - </w:t>
      </w:r>
      <w:r w:rsidRPr="004327E4">
        <w:rPr>
          <w:b/>
        </w:rPr>
        <w:t xml:space="preserve"> </w:t>
      </w:r>
      <w:r w:rsidRPr="004327E4">
        <w:t>aplikuje v dobe maximálneho liahnutia lariev z vajíčok. Vyššiu dávku  použite na larvy vo vyšších larválnych štádiách. Dávka vody 3-5 l/100 m</w:t>
      </w:r>
      <w:r w:rsidRPr="004327E4">
        <w:rPr>
          <w:vertAlign w:val="superscript"/>
        </w:rPr>
        <w:t>2</w:t>
      </w:r>
      <w:r w:rsidRPr="004327E4">
        <w:t>.</w:t>
      </w:r>
    </w:p>
    <w:p w:rsidR="004327E4" w:rsidRDefault="004327E4" w:rsidP="00416C1E">
      <w:pPr>
        <w:jc w:val="both"/>
      </w:pPr>
      <w:r>
        <w:rPr>
          <w:b/>
        </w:rPr>
        <w:t xml:space="preserve">Vinič - </w:t>
      </w:r>
      <w:r w:rsidRPr="004327E4">
        <w:t xml:space="preserve">aplikuje proti prvej generácii obaľovačov približne 10 dní po maximálnom nálete zistenom na </w:t>
      </w:r>
      <w:proofErr w:type="spellStart"/>
      <w:r w:rsidRPr="004327E4">
        <w:t>feromónovom</w:t>
      </w:r>
      <w:proofErr w:type="spellEnd"/>
      <w:r w:rsidRPr="004327E4">
        <w:t xml:space="preserve"> lapáku, prípadne od štádia čiernej hlavičky resp. začiatku liahnutia húseníc. Pre aplikáciu proti prvej generácii sa odporúča dávka 3 ml/100 m</w:t>
      </w:r>
      <w:r w:rsidRPr="004327E4">
        <w:rPr>
          <w:vertAlign w:val="superscript"/>
        </w:rPr>
        <w:t>2</w:t>
      </w:r>
      <w:r w:rsidRPr="004327E4">
        <w:t xml:space="preserve"> v</w:t>
      </w:r>
      <w:r>
        <w:t> </w:t>
      </w:r>
      <w:r w:rsidRPr="004327E4">
        <w:t>4-6 l vody. Proti druhej generácii sa aplikuje dávka 4 ml/100 m</w:t>
      </w:r>
      <w:r w:rsidRPr="004327E4">
        <w:rPr>
          <w:vertAlign w:val="superscript"/>
        </w:rPr>
        <w:t>2</w:t>
      </w:r>
      <w:r w:rsidRPr="004327E4">
        <w:t xml:space="preserve"> 5-7 dní po zistení vrcholu náletu, prípadne od štádia čiernej hlavičky až začiatku liahnutia húseníc. Po 7-10 dňoch sa postrek opakuje dávkou 3-4 ml/100 m</w:t>
      </w:r>
      <w:r w:rsidRPr="004327E4">
        <w:rPr>
          <w:vertAlign w:val="superscript"/>
        </w:rPr>
        <w:t>2</w:t>
      </w:r>
      <w:r w:rsidRPr="004327E4">
        <w:t xml:space="preserve">. Dosiahnutie rovnomernej </w:t>
      </w:r>
      <w:proofErr w:type="spellStart"/>
      <w:r w:rsidRPr="004327E4">
        <w:t>pokryvnosti</w:t>
      </w:r>
      <w:proofErr w:type="spellEnd"/>
      <w:r w:rsidRPr="004327E4">
        <w:t xml:space="preserve"> je predpokladom dosiahnutia vysokej účinnosti.</w:t>
      </w:r>
    </w:p>
    <w:p w:rsidR="00C64CAA" w:rsidRPr="005958BB" w:rsidRDefault="00C64CAA" w:rsidP="00C64CAA">
      <w:pPr>
        <w:jc w:val="both"/>
        <w:rPr>
          <w:b/>
        </w:rPr>
      </w:pPr>
      <w:r w:rsidRPr="00336DF7">
        <w:rPr>
          <w:b/>
        </w:rPr>
        <w:lastRenderedPageBreak/>
        <w:t>Listy viniča ošetrené prípravkom SPINTOR nesmú byť použité na potravinárske účely!</w:t>
      </w:r>
    </w:p>
    <w:p w:rsidR="00C64CAA" w:rsidRDefault="00C64CAA" w:rsidP="00416C1E">
      <w:pPr>
        <w:jc w:val="both"/>
      </w:pPr>
    </w:p>
    <w:p w:rsidR="00391534" w:rsidRDefault="00391534" w:rsidP="00391534">
      <w:pPr>
        <w:jc w:val="both"/>
      </w:pPr>
      <w:r w:rsidRPr="00391534">
        <w:rPr>
          <w:b/>
        </w:rPr>
        <w:t>Jabloň</w:t>
      </w:r>
      <w:r>
        <w:t xml:space="preserve"> - aplikuj</w:t>
      </w:r>
      <w:r w:rsidR="00634CB8">
        <w:t>t</w:t>
      </w:r>
      <w:r>
        <w:t>e proti húseniciam obaľovača jablčného najlepšie vo fáze liahnutia húseníc. Interval medzi ošetreniami je 7-10 dní. Dávka vody musí zabezpečiť dokonalé a rovnomerné pokrytie. Zvyčajne sa používa 2-6 l/100 m</w:t>
      </w:r>
      <w:r w:rsidRPr="00391534">
        <w:rPr>
          <w:vertAlign w:val="superscript"/>
        </w:rPr>
        <w:t>2</w:t>
      </w:r>
      <w:r>
        <w:t xml:space="preserve"> vody.</w:t>
      </w:r>
    </w:p>
    <w:p w:rsidR="004327E4" w:rsidRDefault="00391534" w:rsidP="00416C1E">
      <w:pPr>
        <w:jc w:val="both"/>
        <w:rPr>
          <w:b/>
        </w:rPr>
      </w:pPr>
      <w:r>
        <w:t>P</w:t>
      </w:r>
      <w:r w:rsidR="00634CB8">
        <w:t xml:space="preserve">roti </w:t>
      </w:r>
      <w:proofErr w:type="spellStart"/>
      <w:r w:rsidR="00634CB8">
        <w:t>p</w:t>
      </w:r>
      <w:r>
        <w:t>odkopáčik</w:t>
      </w:r>
      <w:r w:rsidR="00634CB8">
        <w:t>om</w:t>
      </w:r>
      <w:proofErr w:type="spellEnd"/>
      <w:r>
        <w:t xml:space="preserve"> ošetrujte pri maximálnom nálete do </w:t>
      </w:r>
      <w:proofErr w:type="spellStart"/>
      <w:r>
        <w:t>feromónových</w:t>
      </w:r>
      <w:proofErr w:type="spellEnd"/>
      <w:r>
        <w:t xml:space="preserve"> lapačov.</w:t>
      </w:r>
    </w:p>
    <w:p w:rsidR="004327E4" w:rsidRPr="008204E2" w:rsidRDefault="004327E4" w:rsidP="00416C1E">
      <w:pPr>
        <w:jc w:val="both"/>
        <w:rPr>
          <w:b/>
        </w:rPr>
      </w:pPr>
    </w:p>
    <w:p w:rsidR="00416C1E" w:rsidRPr="008204E2" w:rsidRDefault="00416C1E" w:rsidP="00416C1E">
      <w:pPr>
        <w:jc w:val="both"/>
        <w:rPr>
          <w:color w:val="FF0000"/>
        </w:rPr>
      </w:pPr>
      <w:r w:rsidRPr="008204E2">
        <w:t xml:space="preserve">Počas vegetácie sa odporúča používať insekticídy s rôznym spôsobom účinku z dôvodu prevencie pred vznikom rezistencie. </w:t>
      </w:r>
    </w:p>
    <w:p w:rsidR="003B00EE" w:rsidRDefault="003B00EE" w:rsidP="00416C1E">
      <w:pPr>
        <w:jc w:val="both"/>
        <w:rPr>
          <w:b/>
        </w:rPr>
      </w:pPr>
    </w:p>
    <w:p w:rsidR="00416C1E" w:rsidRDefault="00416C1E" w:rsidP="00416C1E">
      <w:pPr>
        <w:jc w:val="both"/>
        <w:rPr>
          <w:b/>
          <w:bCs/>
        </w:rPr>
      </w:pPr>
      <w:r w:rsidRPr="004E597C">
        <w:rPr>
          <w:b/>
          <w:bCs/>
        </w:rPr>
        <w:t>INFORMÁCIE O MOŽNEJ FYTOTOXICITE, ODRODOVEJ CITLIVOSTI A VŠETKÝCH ĎALŠÍCH PRIAMYCH A NEPRIAMYCH NEPRIAZNIVÝCH ÚČINKOCH NA RASTLINY ALEBO RASTLINNÉ PRODUKTY</w:t>
      </w:r>
    </w:p>
    <w:p w:rsidR="00416C1E" w:rsidRPr="006C122B" w:rsidRDefault="00416C1E" w:rsidP="00416C1E">
      <w:pPr>
        <w:jc w:val="both"/>
        <w:rPr>
          <w:bCs/>
        </w:rPr>
      </w:pPr>
      <w:r w:rsidRPr="006C122B">
        <w:rPr>
          <w:szCs w:val="22"/>
        </w:rPr>
        <w:t>Pre povolený rozsah prípravku nie sú známe.</w:t>
      </w:r>
    </w:p>
    <w:p w:rsidR="00416C1E" w:rsidRPr="004E597C" w:rsidRDefault="00416C1E" w:rsidP="00416C1E">
      <w:pPr>
        <w:jc w:val="both"/>
        <w:rPr>
          <w:b/>
          <w:bCs/>
          <w:highlight w:val="yellow"/>
        </w:rPr>
      </w:pPr>
    </w:p>
    <w:p w:rsidR="00416C1E" w:rsidRPr="004E597C" w:rsidRDefault="00416C1E" w:rsidP="00416C1E">
      <w:pPr>
        <w:rPr>
          <w:b/>
          <w:bCs/>
        </w:rPr>
      </w:pPr>
      <w:r w:rsidRPr="004E597C">
        <w:rPr>
          <w:b/>
          <w:bCs/>
        </w:rPr>
        <w:t>OPATRENIA PROTI VZNIKU REZISTENCIE</w:t>
      </w:r>
    </w:p>
    <w:p w:rsidR="00416C1E" w:rsidRDefault="00AC210C" w:rsidP="00416C1E">
      <w:pPr>
        <w:ind w:right="-1"/>
        <w:jc w:val="both"/>
      </w:pPr>
      <w:r>
        <w:t xml:space="preserve">Účinná látka </w:t>
      </w:r>
      <w:proofErr w:type="spellStart"/>
      <w:r>
        <w:t>spinosad</w:t>
      </w:r>
      <w:proofErr w:type="spellEnd"/>
      <w:r>
        <w:t xml:space="preserve"> je zaradená do skupiny</w:t>
      </w:r>
      <w:r w:rsidR="00634CB8">
        <w:t xml:space="preserve"> modulátorov </w:t>
      </w:r>
      <w:proofErr w:type="spellStart"/>
      <w:r w:rsidR="00634CB8">
        <w:t>neurotransmitterov</w:t>
      </w:r>
      <w:proofErr w:type="spellEnd"/>
      <w:r w:rsidR="00634CB8">
        <w:t xml:space="preserve"> v centrálnej nervovej sústave hmyzu </w:t>
      </w:r>
      <w:r>
        <w:t xml:space="preserve"> </w:t>
      </w:r>
      <w:r w:rsidR="00634CB8">
        <w:t>(</w:t>
      </w:r>
      <w:r w:rsidRPr="009220A8">
        <w:t>IRAC 5</w:t>
      </w:r>
      <w:r w:rsidR="00634CB8">
        <w:t>)</w:t>
      </w:r>
      <w:r>
        <w:t xml:space="preserve">. </w:t>
      </w:r>
      <w:r w:rsidR="00416C1E" w:rsidRPr="008204E2">
        <w:t>Neaplikujte nižšie než registrované dávky prípravku. Ošetrujte cielene, najlepšie v skorých vývojových štádiách škodcu. Ak je to možné, kombinujte pesticídnu a biologickú ochranu. Ak aplikujete tank mix, používajte prípravky s rozdielnym spôsobom účinku.</w:t>
      </w:r>
    </w:p>
    <w:p w:rsidR="00416C1E" w:rsidRDefault="00416C1E" w:rsidP="00416C1E">
      <w:pPr>
        <w:jc w:val="both"/>
        <w:rPr>
          <w:b/>
        </w:rPr>
      </w:pPr>
    </w:p>
    <w:p w:rsidR="00416C1E" w:rsidRDefault="00416C1E" w:rsidP="00416C1E">
      <w:pPr>
        <w:jc w:val="both"/>
        <w:rPr>
          <w:b/>
        </w:rPr>
      </w:pPr>
      <w:r>
        <w:rPr>
          <w:b/>
        </w:rPr>
        <w:t>VPLYV NA NÁSLEDNÉ, NÁHRADNÉ A SUSEDIACE PLODINY</w:t>
      </w:r>
    </w:p>
    <w:p w:rsidR="00416C1E" w:rsidRPr="00AC210C" w:rsidRDefault="00416C1E" w:rsidP="00416C1E">
      <w:pPr>
        <w:jc w:val="both"/>
      </w:pPr>
      <w:r>
        <w:t xml:space="preserve">Pestovanie následných a náhradných plodín je bez obmedzenia. </w:t>
      </w:r>
      <w:r w:rsidRPr="009C4825">
        <w:rPr>
          <w:b/>
        </w:rPr>
        <w:t>Postrek nesmie zasiahnuť susedné kultúry!</w:t>
      </w:r>
    </w:p>
    <w:p w:rsidR="00416C1E" w:rsidRDefault="00416C1E" w:rsidP="00416C1E">
      <w:pPr>
        <w:jc w:val="both"/>
        <w:rPr>
          <w:b/>
        </w:rPr>
      </w:pPr>
    </w:p>
    <w:p w:rsidR="00416C1E" w:rsidRDefault="00416C1E" w:rsidP="00416C1E">
      <w:pPr>
        <w:jc w:val="both"/>
        <w:rPr>
          <w:b/>
        </w:rPr>
      </w:pPr>
      <w:r w:rsidRPr="009C4825">
        <w:rPr>
          <w:b/>
        </w:rPr>
        <w:t>VPLYV NA UŽITOČNÉ A INÉ NECIEĽOVÉ ORGANIZMY</w:t>
      </w:r>
    </w:p>
    <w:p w:rsidR="00416C1E" w:rsidRPr="008204E2" w:rsidRDefault="00416C1E" w:rsidP="00416C1E">
      <w:pPr>
        <w:ind w:right="-1"/>
        <w:jc w:val="both"/>
      </w:pPr>
      <w:r w:rsidRPr="008204E2">
        <w:t xml:space="preserve">Prípravok nie je systémový. Riziko vyplývajúce pre užitočné a iné </w:t>
      </w:r>
      <w:r w:rsidR="0057217C" w:rsidRPr="008204E2">
        <w:t>necie</w:t>
      </w:r>
      <w:r w:rsidR="0057217C">
        <w:t>ľové</w:t>
      </w:r>
      <w:r w:rsidR="0057217C" w:rsidRPr="008204E2">
        <w:t xml:space="preserve"> </w:t>
      </w:r>
      <w:r w:rsidRPr="008204E2">
        <w:t>organizmy pri dodržaní predpísanej dávky alebo koncentrácie a spôsobu aplikácie, je stredné.</w:t>
      </w:r>
      <w:r w:rsidRPr="008204E2" w:rsidDel="00E5099D">
        <w:t xml:space="preserve"> </w:t>
      </w:r>
    </w:p>
    <w:p w:rsidR="00416C1E" w:rsidRDefault="00416C1E" w:rsidP="00416C1E">
      <w:pPr>
        <w:jc w:val="both"/>
      </w:pPr>
    </w:p>
    <w:p w:rsidR="00416C1E" w:rsidRPr="004B6253" w:rsidRDefault="00416C1E" w:rsidP="00416C1E">
      <w:pPr>
        <w:jc w:val="both"/>
        <w:rPr>
          <w:b/>
          <w:bCs/>
          <w:szCs w:val="22"/>
        </w:rPr>
      </w:pPr>
      <w:r w:rsidRPr="004B6253">
        <w:rPr>
          <w:b/>
          <w:bCs/>
          <w:szCs w:val="22"/>
        </w:rPr>
        <w:t>PRÍPRAVA POSTREKOVEJ KVAPALINY</w:t>
      </w:r>
    </w:p>
    <w:p w:rsidR="0057217C" w:rsidRPr="003E5C42" w:rsidRDefault="0057217C" w:rsidP="0057217C">
      <w:pPr>
        <w:jc w:val="both"/>
      </w:pPr>
      <w:r w:rsidRPr="003E5C42">
        <w:t xml:space="preserve">Odmerané množstvo prípravku vlejte do nádrže postrekovača naplnenej do polovice vodou a doplňte na požadovaný objem. </w:t>
      </w:r>
      <w:r w:rsidR="00391534" w:rsidRPr="004330BC">
        <w:t>Prázdny obal z tohto prípravku vypláchnite vodou, a to buď ručne (3 krát po sebe). Výplachovú vodu vlejte do nádrže postrekovača</w:t>
      </w:r>
      <w:r w:rsidR="00391534">
        <w:t>.</w:t>
      </w:r>
      <w:r w:rsidR="00391534" w:rsidRPr="004330BC">
        <w:t xml:space="preserve"> </w:t>
      </w:r>
      <w:r w:rsidRPr="003E5C42">
        <w:t>Po uzavretí postrekovača pretrepte postrekovač tak, aby sa postreková kvapalina premiešala. Pripravte len také množstvo postrekovej kvapaliny, ktoré spotrebujete.</w:t>
      </w:r>
      <w:r w:rsidRPr="0057217C">
        <w:t xml:space="preserve"> </w:t>
      </w:r>
      <w:r w:rsidRPr="003E5C42">
        <w:t>Zákaz opätovného použitia obalu alebo jeho použitia na iné účely!</w:t>
      </w:r>
      <w:r w:rsidR="00391534" w:rsidRPr="00391534">
        <w:t xml:space="preserve"> Použitý postrekovač musí byť v dobrom technickom stave a dokonale zbavený prípadných zvyškov po predchádzajúcich postrekoch.</w:t>
      </w:r>
    </w:p>
    <w:p w:rsidR="00416C1E" w:rsidRDefault="00416C1E" w:rsidP="00416C1E">
      <w:pPr>
        <w:jc w:val="both"/>
        <w:rPr>
          <w:highlight w:val="yellow"/>
        </w:rPr>
      </w:pPr>
    </w:p>
    <w:p w:rsidR="00416C1E" w:rsidRPr="003B00EE" w:rsidRDefault="00416C1E" w:rsidP="00416C1E">
      <w:pPr>
        <w:jc w:val="both"/>
        <w:rPr>
          <w:b/>
        </w:rPr>
      </w:pPr>
      <w:r w:rsidRPr="003B00EE">
        <w:rPr>
          <w:b/>
        </w:rPr>
        <w:t>ČISTENIE APLIKAČNÉHO ZARIADENIA</w:t>
      </w:r>
    </w:p>
    <w:p w:rsidR="0095176F" w:rsidRDefault="0095176F" w:rsidP="0095176F">
      <w:pPr>
        <w:jc w:val="both"/>
        <w:rPr>
          <w:color w:val="000000"/>
        </w:rPr>
      </w:pPr>
      <w:r w:rsidRPr="00634D37">
        <w:rPr>
          <w:color w:val="000000"/>
        </w:rPr>
        <w:t>Po skončení aplikácie prípravku je potrebné vyprázdniť nádrž postrekovacieho zariadenia a  celé zariadenie vypláchnuť čistou vodou. Zvyšky aplikačnej kvapaliny je zakázané vylievať v</w:t>
      </w:r>
      <w:r>
        <w:rPr>
          <w:color w:val="000000"/>
        </w:rPr>
        <w:t> </w:t>
      </w:r>
      <w:r w:rsidRPr="00634D37">
        <w:rPr>
          <w:color w:val="000000"/>
        </w:rPr>
        <w:t>blízkosti vodných zdrojov, podzemných vôd a recipientov povrchových vôd.</w:t>
      </w:r>
    </w:p>
    <w:p w:rsidR="00416C1E" w:rsidRPr="004E597C" w:rsidRDefault="00416C1E" w:rsidP="00416C1E">
      <w:pPr>
        <w:jc w:val="both"/>
        <w:rPr>
          <w:highlight w:val="yellow"/>
        </w:rPr>
      </w:pPr>
    </w:p>
    <w:p w:rsidR="00416C1E" w:rsidRPr="004E597C" w:rsidRDefault="00416C1E" w:rsidP="00416C1E">
      <w:pPr>
        <w:jc w:val="both"/>
        <w:rPr>
          <w:b/>
          <w:bCs/>
        </w:rPr>
      </w:pPr>
      <w:r w:rsidRPr="004E597C">
        <w:rPr>
          <w:b/>
          <w:bCs/>
        </w:rPr>
        <w:t>BEZPEČNOSTNÉ  OPATRENIA</w:t>
      </w:r>
    </w:p>
    <w:p w:rsidR="00416C1E" w:rsidRPr="004E597C" w:rsidRDefault="00416C1E" w:rsidP="00416C1E">
      <w:pPr>
        <w:numPr>
          <w:ilvl w:val="0"/>
          <w:numId w:val="1"/>
        </w:numPr>
        <w:jc w:val="both"/>
        <w:rPr>
          <w:lang w:eastAsia="sk-SK"/>
        </w:rPr>
      </w:pPr>
      <w:r w:rsidRPr="004E597C">
        <w:rPr>
          <w:lang w:eastAsia="sk-SK"/>
        </w:rPr>
        <w:t>Pred použitím prípravku si dôkladne prečítajte návod na použitie!</w:t>
      </w:r>
    </w:p>
    <w:p w:rsidR="00416C1E" w:rsidRPr="004E597C" w:rsidRDefault="00416C1E" w:rsidP="00416C1E">
      <w:pPr>
        <w:numPr>
          <w:ilvl w:val="0"/>
          <w:numId w:val="1"/>
        </w:numPr>
        <w:jc w:val="both"/>
        <w:rPr>
          <w:lang w:eastAsia="sk-SK"/>
        </w:rPr>
      </w:pPr>
      <w:r w:rsidRPr="004E597C">
        <w:rPr>
          <w:lang w:eastAsia="sk-SK"/>
        </w:rPr>
        <w:lastRenderedPageBreak/>
        <w:t>Pri príprave aplikačného roztoku použite ochrannú zásteru z pogumovaného textilu, rukavice určené na prácu s chemikáliami a gumovú obuv.</w:t>
      </w:r>
    </w:p>
    <w:p w:rsidR="00416C1E" w:rsidRPr="004E597C" w:rsidRDefault="00416C1E" w:rsidP="00416C1E">
      <w:pPr>
        <w:numPr>
          <w:ilvl w:val="0"/>
          <w:numId w:val="1"/>
        </w:numPr>
        <w:rPr>
          <w:lang w:eastAsia="sk-SK"/>
        </w:rPr>
      </w:pPr>
      <w:r w:rsidRPr="004E597C">
        <w:rPr>
          <w:lang w:eastAsia="sk-SK"/>
        </w:rPr>
        <w:t>Pri aplikácii použite pracovný ochranný odev, ochranný štít na tvár alebo ochranné okuliare,</w:t>
      </w:r>
      <w:r w:rsidRPr="004E597C">
        <w:rPr>
          <w:sz w:val="18"/>
          <w:szCs w:val="18"/>
        </w:rPr>
        <w:t xml:space="preserve"> </w:t>
      </w:r>
      <w:r w:rsidRPr="004E597C">
        <w:rPr>
          <w:szCs w:val="18"/>
        </w:rPr>
        <w:t>respirátor proti výparom</w:t>
      </w:r>
      <w:r w:rsidRPr="004E597C">
        <w:rPr>
          <w:lang w:eastAsia="sk-SK"/>
        </w:rPr>
        <w:t>, rukavice určené na prácu s chemikáliami a gumovú obuv.</w:t>
      </w:r>
    </w:p>
    <w:p w:rsidR="00416C1E" w:rsidRPr="004E597C" w:rsidRDefault="00416C1E" w:rsidP="00416C1E">
      <w:pPr>
        <w:numPr>
          <w:ilvl w:val="0"/>
          <w:numId w:val="1"/>
        </w:numPr>
        <w:rPr>
          <w:lang w:eastAsia="sk-SK"/>
        </w:rPr>
      </w:pPr>
      <w:r w:rsidRPr="004E597C">
        <w:rPr>
          <w:lang w:eastAsia="sk-SK"/>
        </w:rPr>
        <w:t xml:space="preserve">Pri práci a po jej skončení až do vyzlečenia pracovného odevu a dôkladnom umytí mydlom a teplou vodou je zakázané </w:t>
      </w:r>
      <w:r w:rsidRPr="004E597C">
        <w:rPr>
          <w:b/>
          <w:bCs/>
          <w:lang w:eastAsia="sk-SK"/>
        </w:rPr>
        <w:t>jesť, piť a fajčiť!</w:t>
      </w:r>
    </w:p>
    <w:p w:rsidR="00416C1E" w:rsidRPr="004E597C" w:rsidRDefault="00416C1E" w:rsidP="00416C1E">
      <w:pPr>
        <w:jc w:val="both"/>
      </w:pPr>
      <w:r w:rsidRPr="004E597C">
        <w:rPr>
          <w:b/>
          <w:bCs/>
          <w:lang w:eastAsia="sk-SK"/>
        </w:rPr>
        <w:t xml:space="preserve">Dôležité upozornenie: </w:t>
      </w:r>
      <w:r w:rsidRPr="004E597C">
        <w:rPr>
          <w:lang w:eastAsia="sk-SK"/>
        </w:rPr>
        <w:t>Postrekovať môžete len za bezvetria alebo pri miernom vánku a v tom prípade v smere vetra od pracujúcich. Zabráňte vdychovaniu výparov a postrekového aerosólu. Postrekom nesmú byť zasiahnuté susedné plodiny!</w:t>
      </w:r>
    </w:p>
    <w:p w:rsidR="00416C1E" w:rsidRPr="004E597C" w:rsidRDefault="00416C1E" w:rsidP="00416C1E">
      <w:pPr>
        <w:jc w:val="both"/>
        <w:rPr>
          <w:highlight w:val="yellow"/>
        </w:rPr>
      </w:pPr>
    </w:p>
    <w:p w:rsidR="00416C1E" w:rsidRPr="004330BC" w:rsidRDefault="00416C1E" w:rsidP="00416C1E">
      <w:pPr>
        <w:jc w:val="both"/>
        <w:rPr>
          <w:b/>
        </w:rPr>
      </w:pPr>
      <w:r w:rsidRPr="004330BC">
        <w:rPr>
          <w:b/>
        </w:rPr>
        <w:t>PRVÁ POMOC</w:t>
      </w:r>
    </w:p>
    <w:p w:rsidR="00416C1E" w:rsidRPr="008204E2" w:rsidRDefault="00416C1E" w:rsidP="00416C1E">
      <w:pPr>
        <w:spacing w:line="240" w:lineRule="atLeast"/>
        <w:ind w:right="-1"/>
        <w:jc w:val="both"/>
        <w:rPr>
          <w:b/>
        </w:rPr>
      </w:pPr>
      <w:r w:rsidRPr="008204E2">
        <w:rPr>
          <w:b/>
        </w:rPr>
        <w:t>Nikdy nepodávajte tekutiny a nevyvolávajte zvracanie ak je pacient v bezvedomí alebo má kŕče.</w:t>
      </w:r>
    </w:p>
    <w:p w:rsidR="00416C1E" w:rsidRPr="008204E2" w:rsidRDefault="00416C1E" w:rsidP="00416C1E">
      <w:pPr>
        <w:spacing w:line="240" w:lineRule="atLeast"/>
        <w:ind w:right="-1"/>
        <w:jc w:val="both"/>
        <w:rPr>
          <w:b/>
        </w:rPr>
      </w:pPr>
      <w:r w:rsidRPr="008204E2">
        <w:rPr>
          <w:b/>
        </w:rPr>
        <w:t xml:space="preserve">Po nadýchaní: </w:t>
      </w:r>
      <w:r w:rsidRPr="008204E2">
        <w:t>Opustiť zamorený priestor, zabezpečiť pobyt na čistom vzduchu, rozopnúť na hrudníku odev, zabezpečiť pokoj a teplo. Ak vznikne podráždenie, poraďte sa s lekárom.</w:t>
      </w:r>
      <w:r w:rsidRPr="008204E2">
        <w:rPr>
          <w:b/>
        </w:rPr>
        <w:t xml:space="preserve"> </w:t>
      </w:r>
    </w:p>
    <w:p w:rsidR="00416C1E" w:rsidRPr="008204E2" w:rsidRDefault="00416C1E" w:rsidP="00416C1E">
      <w:pPr>
        <w:spacing w:line="240" w:lineRule="atLeast"/>
        <w:ind w:right="-1"/>
        <w:jc w:val="both"/>
      </w:pPr>
      <w:r w:rsidRPr="008204E2">
        <w:rPr>
          <w:b/>
        </w:rPr>
        <w:t xml:space="preserve">Po požití: </w:t>
      </w:r>
      <w:r w:rsidRPr="008204E2">
        <w:t>Nevyvolávajte zvracanie. Ak je pacient pri vedomí, vypláchnite mu ústa vodou. Poraďte sa s lekárom. O vyvolaní/nevyvolaní zvracania musí rozhodnúť lekár. Privolajte ihneď lekára.</w:t>
      </w:r>
    </w:p>
    <w:p w:rsidR="00416C1E" w:rsidRPr="008204E2" w:rsidRDefault="00416C1E" w:rsidP="00416C1E">
      <w:pPr>
        <w:spacing w:line="240" w:lineRule="atLeast"/>
        <w:ind w:right="-1"/>
        <w:jc w:val="both"/>
      </w:pPr>
      <w:r w:rsidRPr="008204E2">
        <w:rPr>
          <w:b/>
        </w:rPr>
        <w:t xml:space="preserve">Po zasiahnutí očí: </w:t>
      </w:r>
      <w:r w:rsidRPr="008204E2">
        <w:t xml:space="preserve">Oči dôkladne vyplachujte niekoľko minút veľkým množstvom vody. Vyberte kontaktné šošovky po 1-2 minútach a pokračujte vo vyplachovaní. Vyhľadajte lekársku pomoc, podľa možnosti </w:t>
      </w:r>
      <w:proofErr w:type="spellStart"/>
      <w:r w:rsidRPr="008204E2">
        <w:t>oftalmológa</w:t>
      </w:r>
      <w:proofErr w:type="spellEnd"/>
      <w:r w:rsidRPr="008204E2">
        <w:t xml:space="preserve">. </w:t>
      </w:r>
    </w:p>
    <w:p w:rsidR="00416C1E" w:rsidRPr="008204E2" w:rsidRDefault="00416C1E" w:rsidP="00416C1E">
      <w:pPr>
        <w:spacing w:line="240" w:lineRule="atLeast"/>
        <w:ind w:right="-1"/>
        <w:jc w:val="both"/>
      </w:pPr>
      <w:r w:rsidRPr="008204E2">
        <w:rPr>
          <w:b/>
        </w:rPr>
        <w:t xml:space="preserve">Po zasiahnutí pokožky: </w:t>
      </w:r>
      <w:r w:rsidRPr="008204E2">
        <w:t>Odstráňte zamorený odev a postihnuté miesto dôkladne umyte teplou vodou a mydlom. Zasiahnutý odev pred opätovným použitím vyperte.</w:t>
      </w:r>
    </w:p>
    <w:p w:rsidR="00416C1E" w:rsidRPr="008204E2" w:rsidRDefault="00416C1E" w:rsidP="00416C1E">
      <w:pPr>
        <w:spacing w:line="240" w:lineRule="atLeast"/>
        <w:ind w:right="-1"/>
        <w:jc w:val="both"/>
      </w:pPr>
    </w:p>
    <w:p w:rsidR="00416C1E" w:rsidRPr="008204E2" w:rsidRDefault="00416C1E" w:rsidP="00416C1E">
      <w:pPr>
        <w:spacing w:after="120"/>
        <w:jc w:val="both"/>
      </w:pPr>
      <w:r w:rsidRPr="008204E2">
        <w:rPr>
          <w:b/>
        </w:rPr>
        <w:t xml:space="preserve">Informácia pre lekára: </w:t>
      </w:r>
      <w:r w:rsidRPr="008204E2">
        <w:t xml:space="preserve">Nie je známy žiadny špecifický protijed. Liečba je založená na posudku lekára, ktorý vychádza zo symptómov pacienta. </w:t>
      </w:r>
    </w:p>
    <w:p w:rsidR="00416C1E" w:rsidRPr="008204E2" w:rsidRDefault="00416C1E" w:rsidP="00416C1E">
      <w:pPr>
        <w:ind w:right="-1"/>
        <w:jc w:val="both"/>
      </w:pPr>
      <w:r w:rsidRPr="008204E2">
        <w:t>V prípade potreby lekár môže liečbu konzultovať s Národným toxikologickým informačným centrom v</w:t>
      </w:r>
      <w:r w:rsidR="00C64CAA">
        <w:t> </w:t>
      </w:r>
      <w:r w:rsidRPr="008204E2">
        <w:t>Bratislave</w:t>
      </w:r>
      <w:r w:rsidR="00C64CAA">
        <w:t xml:space="preserve">, </w:t>
      </w:r>
      <w:r w:rsidRPr="008204E2">
        <w:t>č</w:t>
      </w:r>
      <w:r w:rsidR="00C64CAA">
        <w:t xml:space="preserve">. </w:t>
      </w:r>
      <w:r w:rsidRPr="008204E2">
        <w:t>tel</w:t>
      </w:r>
      <w:r w:rsidR="00C64CAA">
        <w:t>. +421 (0)</w:t>
      </w:r>
      <w:r w:rsidRPr="008204E2">
        <w:t>2</w:t>
      </w:r>
      <w:r w:rsidR="00C64CAA">
        <w:t xml:space="preserve"> </w:t>
      </w:r>
      <w:r w:rsidRPr="008204E2">
        <w:t>54</w:t>
      </w:r>
      <w:r w:rsidR="00C64CAA">
        <w:t> </w:t>
      </w:r>
      <w:r w:rsidRPr="008204E2">
        <w:t>774</w:t>
      </w:r>
      <w:r w:rsidR="00C64CAA">
        <w:t xml:space="preserve"> </w:t>
      </w:r>
      <w:r w:rsidRPr="008204E2">
        <w:t>166.</w:t>
      </w:r>
    </w:p>
    <w:p w:rsidR="00416C1E" w:rsidRDefault="00416C1E" w:rsidP="00416C1E">
      <w:pPr>
        <w:jc w:val="both"/>
        <w:rPr>
          <w:b/>
          <w:bCs/>
        </w:rPr>
      </w:pPr>
    </w:p>
    <w:p w:rsidR="00416C1E" w:rsidRPr="004E597C" w:rsidRDefault="00416C1E" w:rsidP="00416C1E">
      <w:pPr>
        <w:jc w:val="both"/>
        <w:rPr>
          <w:b/>
          <w:bCs/>
        </w:rPr>
      </w:pPr>
      <w:r w:rsidRPr="004E597C">
        <w:rPr>
          <w:b/>
          <w:bCs/>
        </w:rPr>
        <w:t>SKLADOVANIE</w:t>
      </w:r>
    </w:p>
    <w:p w:rsidR="00416C1E" w:rsidRPr="009579D5" w:rsidRDefault="00416C1E" w:rsidP="009579D5">
      <w:pPr>
        <w:adjustRightInd w:val="0"/>
        <w:jc w:val="both"/>
        <w:rPr>
          <w:kern w:val="1"/>
          <w:shd w:val="clear" w:color="auto" w:fill="FFFFFF"/>
          <w:lang w:eastAsia="hi-IN" w:bidi="hi-IN"/>
        </w:rPr>
      </w:pPr>
      <w:r w:rsidRPr="004E597C">
        <w:rPr>
          <w:bCs/>
        </w:rPr>
        <w:t>Prípravok skladujte v uzatvorených originálnych obaloch v uzamknutých, suchých a vetrateľných priestoroch pri teplotách +5 až +30°C oddelene od potravín, nápojov, liekov, hnojív, krmív, dezinfekčných prostriedkov a obalov od týchto látok. Chráňte pred mrazom, vlhkom, ohňom, sálaním tepelných zdrojov a priamym slnečným žiarením.</w:t>
      </w:r>
      <w:r w:rsidR="009579D5" w:rsidRPr="009579D5">
        <w:rPr>
          <w:kern w:val="1"/>
          <w:shd w:val="clear" w:color="auto" w:fill="FFFFFF"/>
          <w:lang w:eastAsia="hi-IN" w:bidi="hi-IN"/>
        </w:rPr>
        <w:t xml:space="preserve"> </w:t>
      </w:r>
      <w:r w:rsidR="009579D5" w:rsidRPr="00236D48">
        <w:rPr>
          <w:kern w:val="1"/>
          <w:shd w:val="clear" w:color="auto" w:fill="FFFFFF"/>
          <w:lang w:eastAsia="hi-IN" w:bidi="hi-IN"/>
        </w:rPr>
        <w:t xml:space="preserve">Doba skladovateľnosti v originálnych neporušených obaloch je 2 roky od dátumu výroby. </w:t>
      </w:r>
    </w:p>
    <w:p w:rsidR="00416C1E" w:rsidRDefault="00416C1E" w:rsidP="00416C1E">
      <w:pPr>
        <w:jc w:val="both"/>
        <w:rPr>
          <w:b/>
          <w:color w:val="000000"/>
        </w:rPr>
      </w:pPr>
    </w:p>
    <w:p w:rsidR="00416C1E" w:rsidRPr="004E597C" w:rsidRDefault="00416C1E" w:rsidP="00416C1E">
      <w:pPr>
        <w:jc w:val="both"/>
        <w:rPr>
          <w:color w:val="000000"/>
        </w:rPr>
      </w:pPr>
      <w:r w:rsidRPr="004E597C">
        <w:rPr>
          <w:b/>
          <w:color w:val="000000"/>
        </w:rPr>
        <w:t>ZNEŠKODNENIE OBALOV A ZVYŠKOV</w:t>
      </w:r>
    </w:p>
    <w:p w:rsidR="00416C1E" w:rsidRDefault="00416C1E" w:rsidP="00416C1E">
      <w:pPr>
        <w:tabs>
          <w:tab w:val="left" w:pos="1134"/>
          <w:tab w:val="left" w:pos="3261"/>
        </w:tabs>
        <w:jc w:val="both"/>
      </w:pPr>
      <w:r w:rsidRPr="004E597C">
        <w:t xml:space="preserve">Nepoužité zvyšky prípravku v pôvodnom obale a prázdne obaly (3× vypláchnuté vodou) zneškodnite ako nebezpečný odpad uložením do vyhradených kontajnerov určených na tento účel obecným, alebo mestským úradom. Obaly od prípravku sa nesmú znovu používať na akékoľvek iné účely! </w:t>
      </w:r>
    </w:p>
    <w:p w:rsidR="00416C1E" w:rsidRPr="004E597C" w:rsidRDefault="00416C1E" w:rsidP="00416C1E">
      <w:pPr>
        <w:tabs>
          <w:tab w:val="left" w:pos="1134"/>
          <w:tab w:val="left" w:pos="3261"/>
        </w:tabs>
        <w:jc w:val="both"/>
      </w:pPr>
      <w:r w:rsidRPr="004E597C">
        <w:t>Oplachové vody použite na prípravu postrekovej kvapaliny. Zvyšky postrekovej kvapaliny po zriedení vystriekajte na ošetrenom pozemku, nesmú však zasiahnuť zdroje podzemných ani recipienty povrchových vôd.</w:t>
      </w:r>
    </w:p>
    <w:p w:rsidR="00F2653F" w:rsidRPr="00A97DE4" w:rsidRDefault="00416C1E" w:rsidP="00336DF7">
      <w:pPr>
        <w:tabs>
          <w:tab w:val="left" w:pos="1134"/>
          <w:tab w:val="left" w:pos="3261"/>
        </w:tabs>
        <w:jc w:val="both"/>
      </w:pPr>
      <w:r w:rsidRPr="004E597C">
        <w:t>Použité náradie, nástroje, zariadenia a ochranné pomôcky asanujte 3% roztokom uhličitanu so</w:t>
      </w:r>
      <w:r>
        <w:t>dného (sódy) a opláchnite vodou.</w:t>
      </w:r>
      <w:r w:rsidR="00CE2239" w:rsidRPr="00532670" w:rsidDel="00CE2239">
        <w:t xml:space="preserve"> </w:t>
      </w:r>
    </w:p>
    <w:sectPr w:rsidR="00F2653F" w:rsidRPr="00A97DE4" w:rsidSect="00A97DE4">
      <w:headerReference w:type="default" r:id="rId8"/>
      <w:footerReference w:type="default" r:id="rId9"/>
      <w:pgSz w:w="12240" w:h="15840"/>
      <w:pgMar w:top="1418" w:right="1418" w:bottom="1418" w:left="1418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27" w:rsidRDefault="00B67E27">
      <w:r>
        <w:separator/>
      </w:r>
    </w:p>
  </w:endnote>
  <w:endnote w:type="continuationSeparator" w:id="0">
    <w:p w:rsidR="00B67E27" w:rsidRDefault="00B6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Look w:val="00A0" w:firstRow="1" w:lastRow="0" w:firstColumn="1" w:lastColumn="0" w:noHBand="0" w:noVBand="0"/>
    </w:tblPr>
    <w:tblGrid>
      <w:gridCol w:w="5245"/>
      <w:gridCol w:w="4395"/>
    </w:tblGrid>
    <w:tr w:rsidR="00A97DE4" w:rsidRPr="00A97DE4" w:rsidTr="00A97DE4">
      <w:tc>
        <w:tcPr>
          <w:tcW w:w="5245" w:type="dxa"/>
        </w:tcPr>
        <w:p w:rsidR="00A97DE4" w:rsidRPr="00A97DE4" w:rsidRDefault="00AC210C" w:rsidP="0010021B">
          <w:pPr>
            <w:spacing w:before="40" w:after="40"/>
            <w:jc w:val="both"/>
            <w:rPr>
              <w:b/>
              <w:sz w:val="22"/>
              <w:szCs w:val="22"/>
              <w:lang w:eastAsia="sk-SK"/>
            </w:rPr>
          </w:pPr>
          <w:r w:rsidRPr="00A97DE4">
            <w:rPr>
              <w:sz w:val="22"/>
              <w:szCs w:val="22"/>
            </w:rPr>
            <w:t>ICZ/</w:t>
          </w:r>
          <w:r w:rsidR="0010021B">
            <w:rPr>
              <w:sz w:val="22"/>
              <w:szCs w:val="22"/>
            </w:rPr>
            <w:t>2023/13767/</w:t>
          </w:r>
          <w:proofErr w:type="spellStart"/>
          <w:r w:rsidR="0010021B">
            <w:rPr>
              <w:sz w:val="22"/>
              <w:szCs w:val="22"/>
            </w:rPr>
            <w:t>ce</w:t>
          </w:r>
          <w:proofErr w:type="spellEnd"/>
        </w:p>
      </w:tc>
      <w:tc>
        <w:tcPr>
          <w:tcW w:w="4395" w:type="dxa"/>
        </w:tcPr>
        <w:p w:rsidR="00A97DE4" w:rsidRPr="00A97DE4" w:rsidRDefault="00A97DE4" w:rsidP="00A97DE4">
          <w:pPr>
            <w:spacing w:before="40" w:after="40"/>
            <w:jc w:val="right"/>
            <w:rPr>
              <w:color w:val="A6A6A6"/>
              <w:sz w:val="22"/>
              <w:szCs w:val="22"/>
              <w:lang w:eastAsia="sk-SK"/>
            </w:rPr>
          </w:pPr>
          <w:r w:rsidRPr="00A97DE4">
            <w:rPr>
              <w:rStyle w:val="slostrany"/>
              <w:sz w:val="22"/>
              <w:szCs w:val="22"/>
            </w:rPr>
            <w:fldChar w:fldCharType="begin"/>
          </w:r>
          <w:r w:rsidRPr="00A97DE4">
            <w:rPr>
              <w:rStyle w:val="slostrany"/>
              <w:sz w:val="22"/>
              <w:szCs w:val="22"/>
            </w:rPr>
            <w:instrText xml:space="preserve"> PAGE </w:instrText>
          </w:r>
          <w:r w:rsidRPr="00A97DE4">
            <w:rPr>
              <w:rStyle w:val="slostrany"/>
              <w:sz w:val="22"/>
              <w:szCs w:val="22"/>
            </w:rPr>
            <w:fldChar w:fldCharType="separate"/>
          </w:r>
          <w:r w:rsidR="0010021B">
            <w:rPr>
              <w:rStyle w:val="slostrany"/>
              <w:noProof/>
              <w:sz w:val="22"/>
              <w:szCs w:val="22"/>
            </w:rPr>
            <w:t>5</w:t>
          </w:r>
          <w:r w:rsidRPr="00A97DE4">
            <w:rPr>
              <w:rStyle w:val="slostrany"/>
              <w:sz w:val="22"/>
              <w:szCs w:val="22"/>
            </w:rPr>
            <w:fldChar w:fldCharType="end"/>
          </w:r>
          <w:r w:rsidRPr="00A97DE4">
            <w:rPr>
              <w:rStyle w:val="slostrany"/>
              <w:sz w:val="22"/>
              <w:szCs w:val="22"/>
            </w:rPr>
            <w:t>/</w:t>
          </w:r>
          <w:r w:rsidRPr="00A97DE4">
            <w:rPr>
              <w:rStyle w:val="slostrany"/>
              <w:sz w:val="22"/>
              <w:szCs w:val="22"/>
            </w:rPr>
            <w:fldChar w:fldCharType="begin"/>
          </w:r>
          <w:r w:rsidRPr="00A97DE4">
            <w:rPr>
              <w:rStyle w:val="slostrany"/>
              <w:sz w:val="22"/>
              <w:szCs w:val="22"/>
            </w:rPr>
            <w:instrText xml:space="preserve"> NUMPAGES </w:instrText>
          </w:r>
          <w:r w:rsidRPr="00A97DE4">
            <w:rPr>
              <w:rStyle w:val="slostrany"/>
              <w:sz w:val="22"/>
              <w:szCs w:val="22"/>
            </w:rPr>
            <w:fldChar w:fldCharType="separate"/>
          </w:r>
          <w:r w:rsidR="0010021B">
            <w:rPr>
              <w:rStyle w:val="slostrany"/>
              <w:noProof/>
              <w:sz w:val="22"/>
              <w:szCs w:val="22"/>
            </w:rPr>
            <w:t>5</w:t>
          </w:r>
          <w:r w:rsidRPr="00A97DE4">
            <w:rPr>
              <w:rStyle w:val="slostrany"/>
              <w:sz w:val="22"/>
              <w:szCs w:val="22"/>
            </w:rPr>
            <w:fldChar w:fldCharType="end"/>
          </w:r>
        </w:p>
      </w:tc>
    </w:tr>
  </w:tbl>
  <w:p w:rsidR="0065618F" w:rsidRPr="00DF5424" w:rsidRDefault="0065618F">
    <w:pPr>
      <w:pStyle w:val="Pta"/>
      <w:rPr>
        <w:sz w:val="20"/>
        <w:szCs w:val="20"/>
      </w:rPr>
    </w:pPr>
    <w:r w:rsidRPr="00DF5424">
      <w:rPr>
        <w:sz w:val="20"/>
        <w:szCs w:val="20"/>
      </w:rPr>
      <w:tab/>
    </w:r>
    <w:r w:rsidRPr="00DF5424">
      <w:rPr>
        <w:sz w:val="20"/>
        <w:szCs w:val="20"/>
      </w:rPr>
      <w:tab/>
    </w:r>
  </w:p>
  <w:p w:rsidR="00A97DE4" w:rsidRDefault="00A97D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27" w:rsidRDefault="00B67E27">
      <w:r>
        <w:separator/>
      </w:r>
    </w:p>
  </w:footnote>
  <w:footnote w:type="continuationSeparator" w:id="0">
    <w:p w:rsidR="00B67E27" w:rsidRDefault="00B6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8F" w:rsidRPr="006223C5" w:rsidRDefault="0065618F" w:rsidP="002C746E">
    <w:pPr>
      <w:pStyle w:val="Hlavika"/>
      <w:jc w:val="right"/>
      <w:rPr>
        <w:sz w:val="22"/>
        <w:szCs w:val="22"/>
      </w:rPr>
    </w:pPr>
    <w:r>
      <w:tab/>
    </w:r>
    <w:r w:rsidRPr="006223C5">
      <w:rPr>
        <w:sz w:val="22"/>
        <w:szCs w:val="22"/>
      </w:rPr>
      <w:tab/>
    </w:r>
    <w:r w:rsidRPr="002C746E">
      <w:rPr>
        <w:sz w:val="22"/>
        <w:szCs w:val="22"/>
      </w:rPr>
      <w:t>Etiketa schválená:</w:t>
    </w:r>
    <w:r w:rsidR="00E9602B" w:rsidRPr="002C746E">
      <w:rPr>
        <w:sz w:val="22"/>
        <w:szCs w:val="22"/>
      </w:rPr>
      <w:t xml:space="preserve"> </w:t>
    </w:r>
    <w:r w:rsidR="0010021B">
      <w:rPr>
        <w:sz w:val="22"/>
        <w:szCs w:val="22"/>
      </w:rPr>
      <w:t>10.08</w:t>
    </w:r>
    <w:r w:rsidR="004A122D">
      <w:rPr>
        <w:sz w:val="22"/>
        <w:szCs w:val="22"/>
      </w:rPr>
      <w:t>.202</w:t>
    </w:r>
    <w:r w:rsidR="00C64CAA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17466"/>
    <w:multiLevelType w:val="hybridMultilevel"/>
    <w:tmpl w:val="99C803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E4"/>
    <w:rsid w:val="00007BD7"/>
    <w:rsid w:val="00032369"/>
    <w:rsid w:val="00035D46"/>
    <w:rsid w:val="00036207"/>
    <w:rsid w:val="000538CE"/>
    <w:rsid w:val="000734D0"/>
    <w:rsid w:val="000A1133"/>
    <w:rsid w:val="0010021B"/>
    <w:rsid w:val="00106E94"/>
    <w:rsid w:val="001117C7"/>
    <w:rsid w:val="00114DE3"/>
    <w:rsid w:val="00116426"/>
    <w:rsid w:val="00124164"/>
    <w:rsid w:val="00155CBB"/>
    <w:rsid w:val="00162CE3"/>
    <w:rsid w:val="00173E62"/>
    <w:rsid w:val="0018422C"/>
    <w:rsid w:val="001C1E00"/>
    <w:rsid w:val="001F1074"/>
    <w:rsid w:val="002178CF"/>
    <w:rsid w:val="00217D5D"/>
    <w:rsid w:val="002255FF"/>
    <w:rsid w:val="00250AB9"/>
    <w:rsid w:val="00277401"/>
    <w:rsid w:val="002A66F4"/>
    <w:rsid w:val="002A7550"/>
    <w:rsid w:val="002C4536"/>
    <w:rsid w:val="002C49B1"/>
    <w:rsid w:val="002C6064"/>
    <w:rsid w:val="002C746E"/>
    <w:rsid w:val="002D5830"/>
    <w:rsid w:val="00336DF7"/>
    <w:rsid w:val="00341D7F"/>
    <w:rsid w:val="00354BD9"/>
    <w:rsid w:val="00391534"/>
    <w:rsid w:val="00391CBA"/>
    <w:rsid w:val="003B00EE"/>
    <w:rsid w:val="003B5984"/>
    <w:rsid w:val="00416C1E"/>
    <w:rsid w:val="004327E4"/>
    <w:rsid w:val="00451441"/>
    <w:rsid w:val="00463B29"/>
    <w:rsid w:val="004A09DC"/>
    <w:rsid w:val="004A122D"/>
    <w:rsid w:val="004A6C26"/>
    <w:rsid w:val="004D6BA4"/>
    <w:rsid w:val="004F2F9A"/>
    <w:rsid w:val="004F7A43"/>
    <w:rsid w:val="005251A5"/>
    <w:rsid w:val="00525C54"/>
    <w:rsid w:val="00537B95"/>
    <w:rsid w:val="0057192C"/>
    <w:rsid w:val="0057217C"/>
    <w:rsid w:val="005A160F"/>
    <w:rsid w:val="005C1077"/>
    <w:rsid w:val="005C568A"/>
    <w:rsid w:val="005D303C"/>
    <w:rsid w:val="005D36DB"/>
    <w:rsid w:val="00600061"/>
    <w:rsid w:val="00603E5D"/>
    <w:rsid w:val="006152DE"/>
    <w:rsid w:val="00615EBF"/>
    <w:rsid w:val="006223C5"/>
    <w:rsid w:val="00634CB8"/>
    <w:rsid w:val="00635E3C"/>
    <w:rsid w:val="0065618F"/>
    <w:rsid w:val="0066782E"/>
    <w:rsid w:val="00677C36"/>
    <w:rsid w:val="00680FC2"/>
    <w:rsid w:val="006855F0"/>
    <w:rsid w:val="0069017D"/>
    <w:rsid w:val="0069214C"/>
    <w:rsid w:val="00695959"/>
    <w:rsid w:val="006969EA"/>
    <w:rsid w:val="006A7DCA"/>
    <w:rsid w:val="006C0D4F"/>
    <w:rsid w:val="00701BE4"/>
    <w:rsid w:val="00707683"/>
    <w:rsid w:val="007150B1"/>
    <w:rsid w:val="0072070C"/>
    <w:rsid w:val="00726B71"/>
    <w:rsid w:val="007866C0"/>
    <w:rsid w:val="007B51EE"/>
    <w:rsid w:val="007C0828"/>
    <w:rsid w:val="00802DD9"/>
    <w:rsid w:val="008034FF"/>
    <w:rsid w:val="00850093"/>
    <w:rsid w:val="008607CE"/>
    <w:rsid w:val="00870697"/>
    <w:rsid w:val="0087381B"/>
    <w:rsid w:val="008830C5"/>
    <w:rsid w:val="00886050"/>
    <w:rsid w:val="008A4AD3"/>
    <w:rsid w:val="008F0CB1"/>
    <w:rsid w:val="0091107D"/>
    <w:rsid w:val="00916BB2"/>
    <w:rsid w:val="009225C3"/>
    <w:rsid w:val="00927B42"/>
    <w:rsid w:val="009355ED"/>
    <w:rsid w:val="0095176F"/>
    <w:rsid w:val="009579D5"/>
    <w:rsid w:val="00985B4C"/>
    <w:rsid w:val="00987E8B"/>
    <w:rsid w:val="009C57DB"/>
    <w:rsid w:val="009F3BBC"/>
    <w:rsid w:val="00A10DB1"/>
    <w:rsid w:val="00A11944"/>
    <w:rsid w:val="00A5221F"/>
    <w:rsid w:val="00A52422"/>
    <w:rsid w:val="00A63567"/>
    <w:rsid w:val="00A65A06"/>
    <w:rsid w:val="00A66E7A"/>
    <w:rsid w:val="00A85C82"/>
    <w:rsid w:val="00A97DE4"/>
    <w:rsid w:val="00A97FAD"/>
    <w:rsid w:val="00AC210C"/>
    <w:rsid w:val="00AC3143"/>
    <w:rsid w:val="00AD1EC6"/>
    <w:rsid w:val="00AE50C3"/>
    <w:rsid w:val="00B01FB2"/>
    <w:rsid w:val="00B2425A"/>
    <w:rsid w:val="00B251FC"/>
    <w:rsid w:val="00B46BA6"/>
    <w:rsid w:val="00B53A1A"/>
    <w:rsid w:val="00B650B9"/>
    <w:rsid w:val="00B67E27"/>
    <w:rsid w:val="00B9017A"/>
    <w:rsid w:val="00B9082A"/>
    <w:rsid w:val="00B931B9"/>
    <w:rsid w:val="00BA6E0E"/>
    <w:rsid w:val="00BC0F4B"/>
    <w:rsid w:val="00BC262F"/>
    <w:rsid w:val="00BC76F9"/>
    <w:rsid w:val="00BD63E7"/>
    <w:rsid w:val="00C5352E"/>
    <w:rsid w:val="00C55743"/>
    <w:rsid w:val="00C5727B"/>
    <w:rsid w:val="00C64CAA"/>
    <w:rsid w:val="00C67736"/>
    <w:rsid w:val="00C77654"/>
    <w:rsid w:val="00C8358B"/>
    <w:rsid w:val="00C84F76"/>
    <w:rsid w:val="00CB4074"/>
    <w:rsid w:val="00CB71A6"/>
    <w:rsid w:val="00CE2239"/>
    <w:rsid w:val="00CE2E97"/>
    <w:rsid w:val="00CF768A"/>
    <w:rsid w:val="00D06300"/>
    <w:rsid w:val="00D1395F"/>
    <w:rsid w:val="00D14675"/>
    <w:rsid w:val="00D166BC"/>
    <w:rsid w:val="00D217DB"/>
    <w:rsid w:val="00D772F3"/>
    <w:rsid w:val="00D86E6E"/>
    <w:rsid w:val="00D960EA"/>
    <w:rsid w:val="00DA58D6"/>
    <w:rsid w:val="00DF07D2"/>
    <w:rsid w:val="00DF5424"/>
    <w:rsid w:val="00E0166C"/>
    <w:rsid w:val="00E3042A"/>
    <w:rsid w:val="00E42044"/>
    <w:rsid w:val="00E61049"/>
    <w:rsid w:val="00E74820"/>
    <w:rsid w:val="00E7491E"/>
    <w:rsid w:val="00E93354"/>
    <w:rsid w:val="00E9602B"/>
    <w:rsid w:val="00EA4302"/>
    <w:rsid w:val="00F0785C"/>
    <w:rsid w:val="00F21414"/>
    <w:rsid w:val="00F2653F"/>
    <w:rsid w:val="00F73A93"/>
    <w:rsid w:val="00FC3690"/>
    <w:rsid w:val="00FC514C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F0D8B"/>
  <w15:chartTrackingRefBased/>
  <w15:docId w15:val="{471762C7-E0C7-4A2B-9394-EDB1850A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1BE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autoRedefine/>
    <w:qFormat/>
    <w:rsid w:val="00116426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  <w:lang w:val="cs-CZ"/>
    </w:rPr>
  </w:style>
  <w:style w:type="paragraph" w:styleId="Nadpis2">
    <w:name w:val="heading 2"/>
    <w:basedOn w:val="Normlny"/>
    <w:next w:val="Normlny"/>
    <w:autoRedefine/>
    <w:qFormat/>
    <w:rsid w:val="00162CE3"/>
    <w:pPr>
      <w:keepNext/>
      <w:spacing w:before="240" w:after="60"/>
      <w:ind w:left="720" w:hanging="720"/>
      <w:outlineLvl w:val="1"/>
    </w:pPr>
    <w:rPr>
      <w:b/>
      <w:bCs/>
      <w:i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F265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pise-mailu">
    <w:name w:val="E-mail Signature"/>
    <w:basedOn w:val="Normlny"/>
    <w:rsid w:val="003B5984"/>
    <w:rPr>
      <w:color w:val="000080"/>
      <w:lang w:eastAsia="sk-SK"/>
    </w:rPr>
  </w:style>
  <w:style w:type="paragraph" w:customStyle="1" w:styleId="tlObyajntextSlonovinov">
    <w:name w:val="Štýl Obyčajný text + Slonovinová"/>
    <w:basedOn w:val="Obyajntext"/>
    <w:autoRedefine/>
    <w:rsid w:val="00615EBF"/>
    <w:pPr>
      <w:spacing w:before="100" w:beforeAutospacing="1"/>
    </w:pPr>
    <w:rPr>
      <w:rFonts w:ascii="Times New Roman" w:hAnsi="Times New Roman" w:cs="Times New Roman"/>
      <w:color w:val="003366"/>
      <w:sz w:val="24"/>
      <w:szCs w:val="24"/>
    </w:rPr>
  </w:style>
  <w:style w:type="paragraph" w:styleId="Obyajntext">
    <w:name w:val="Plain Text"/>
    <w:basedOn w:val="Normlny"/>
    <w:rsid w:val="00615EBF"/>
    <w:rPr>
      <w:rFonts w:ascii="Courier New" w:hAnsi="Courier New" w:cs="Courier New"/>
      <w:sz w:val="20"/>
      <w:szCs w:val="20"/>
    </w:rPr>
  </w:style>
  <w:style w:type="character" w:styleId="Hypertextovprepojenie">
    <w:name w:val="Hyperlink"/>
    <w:rsid w:val="00701BE4"/>
    <w:rPr>
      <w:color w:val="0000FF"/>
      <w:u w:val="single"/>
    </w:rPr>
  </w:style>
  <w:style w:type="paragraph" w:styleId="Zkladntext">
    <w:name w:val="Body Text"/>
    <w:basedOn w:val="Normlny"/>
    <w:rsid w:val="00701BE4"/>
    <w:pPr>
      <w:jc w:val="both"/>
    </w:pPr>
    <w:rPr>
      <w:color w:val="FF0000"/>
    </w:rPr>
  </w:style>
  <w:style w:type="table" w:styleId="Mriekatabuky">
    <w:name w:val="Table Grid"/>
    <w:basedOn w:val="Normlnatabuka"/>
    <w:rsid w:val="00701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C76F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C76F9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916BB2"/>
    <w:rPr>
      <w:sz w:val="16"/>
      <w:szCs w:val="16"/>
    </w:rPr>
  </w:style>
  <w:style w:type="paragraph" w:styleId="Textkomentra">
    <w:name w:val="annotation text"/>
    <w:basedOn w:val="Normlny"/>
    <w:semiHidden/>
    <w:rsid w:val="00916BB2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916BB2"/>
    <w:rPr>
      <w:b/>
      <w:bCs/>
    </w:rPr>
  </w:style>
  <w:style w:type="paragraph" w:styleId="Textbubliny">
    <w:name w:val="Balloon Text"/>
    <w:basedOn w:val="Normlny"/>
    <w:semiHidden/>
    <w:rsid w:val="00916BB2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rsid w:val="00DF5424"/>
  </w:style>
  <w:style w:type="character" w:customStyle="1" w:styleId="HlavikaChar">
    <w:name w:val="Hlavička Char"/>
    <w:link w:val="Hlavika"/>
    <w:uiPriority w:val="99"/>
    <w:rsid w:val="00A97DE4"/>
    <w:rPr>
      <w:sz w:val="24"/>
      <w:szCs w:val="24"/>
      <w:lang w:eastAsia="cs-CZ"/>
    </w:rPr>
  </w:style>
  <w:style w:type="paragraph" w:customStyle="1" w:styleId="pesticd">
    <w:name w:val="pesticíd"/>
    <w:basedOn w:val="Normlny"/>
    <w:next w:val="Normlny"/>
    <w:rsid w:val="00416C1E"/>
    <w:rPr>
      <w:rFonts w:ascii="Arial" w:hAnsi="Arial"/>
      <w:b/>
      <w:caps/>
      <w:sz w:val="56"/>
      <w:szCs w:val="20"/>
      <w:lang w:val="cs-CZ" w:eastAsia="sk-SK"/>
    </w:rPr>
  </w:style>
  <w:style w:type="paragraph" w:customStyle="1" w:styleId="odrazka">
    <w:name w:val="odrazka"/>
    <w:basedOn w:val="Normlny"/>
    <w:rsid w:val="00416C1E"/>
    <w:pPr>
      <w:ind w:left="1004" w:hanging="284"/>
      <w:jc w:val="both"/>
    </w:pPr>
    <w:rPr>
      <w:szCs w:val="2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Prípravok na ochranu rastlín</vt:lpstr>
    </vt:vector>
  </TitlesOfParts>
  <Company>uksup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Prípravok na ochranu rastlín</dc:title>
  <dc:subject/>
  <dc:creator>Ing. Peter Knap</dc:creator>
  <cp:keywords/>
  <cp:lastModifiedBy>Černajová Lucia Ing.</cp:lastModifiedBy>
  <cp:revision>4</cp:revision>
  <cp:lastPrinted>2010-12-10T09:01:00Z</cp:lastPrinted>
  <dcterms:created xsi:type="dcterms:W3CDTF">2023-02-15T18:25:00Z</dcterms:created>
  <dcterms:modified xsi:type="dcterms:W3CDTF">2023-08-10T06:57:00Z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_Steward">
    <vt:lpwstr>Chalas R u379004</vt:lpwstr>
  </property>
  <property fmtid="{D5CDD505-2E9C-101B-9397-08002B2CF9AE}" pid="4" name="Information_Classification">
    <vt:lpwstr>NONE</vt:lpwstr>
  </property>
  <property fmtid="{D5CDD505-2E9C-101B-9397-08002B2CF9AE}" pid="5" name="Record_Title_ID">
    <vt:lpwstr>72</vt:lpwstr>
  </property>
  <property fmtid="{D5CDD505-2E9C-101B-9397-08002B2CF9AE}" pid="6" name="Initial_Creation_Date">
    <vt:lpwstr>9.11.2010 12:58:00</vt:lpwstr>
  </property>
  <property fmtid="{D5CDD505-2E9C-101B-9397-08002B2CF9AE}" pid="7" name="Retention_Period_Start_Date">
    <vt:lpwstr>26.11.2010</vt:lpwstr>
  </property>
  <property fmtid="{D5CDD505-2E9C-101B-9397-08002B2CF9AE}" pid="8" name="Last_Reviewed_Date">
    <vt:lpwstr/>
  </property>
  <property fmtid="{D5CDD505-2E9C-101B-9397-08002B2CF9AE}" pid="9" name="Retention_Review_Frequency">
    <vt:lpwstr/>
  </property>
</Properties>
</file>